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7CF08" w14:textId="46701736" w:rsidR="00B62269" w:rsidRDefault="00B62269" w:rsidP="00B62269">
      <w:pPr>
        <w:rPr>
          <w:lang w:val="es-ES"/>
        </w:rPr>
      </w:pPr>
      <w:r w:rsidRPr="00B62269">
        <w:rPr>
          <w:lang w:val="es-ES"/>
        </w:rPr>
        <w:t xml:space="preserve">Comparación de la huella de emisiones actuales e históricas de la aviación en Europa, </w:t>
      </w:r>
      <w:proofErr w:type="gramStart"/>
      <w:r w:rsidRPr="00B62269">
        <w:rPr>
          <w:lang w:val="es-ES"/>
        </w:rPr>
        <w:t>EEUU</w:t>
      </w:r>
      <w:proofErr w:type="gramEnd"/>
      <w:r w:rsidRPr="00B62269">
        <w:rPr>
          <w:lang w:val="es-ES"/>
        </w:rPr>
        <w:t xml:space="preserve"> y América Latina. </w:t>
      </w:r>
    </w:p>
    <w:p w14:paraId="3D4F5A8A" w14:textId="5537445D" w:rsidR="004E4CA4" w:rsidRDefault="004E4CA4" w:rsidP="00B62269">
      <w:pPr>
        <w:rPr>
          <w:lang w:val="es-ES"/>
        </w:rPr>
      </w:pPr>
      <w:r w:rsidRPr="00BE0050">
        <w:rPr>
          <w:rFonts w:eastAsia="Calibri" w:cstheme="minorHAnsi"/>
          <w:bCs/>
          <w:noProof/>
          <w:color w:val="000000" w:themeColor="text1"/>
          <w:sz w:val="20"/>
          <w:lang w:val="es-419"/>
        </w:rPr>
        <w:drawing>
          <wp:anchor distT="0" distB="0" distL="114300" distR="114300" simplePos="0" relativeHeight="251659264" behindDoc="0" locked="0" layoutInCell="1" allowOverlap="1" wp14:anchorId="3EC7A740" wp14:editId="7A80620A">
            <wp:simplePos x="0" y="0"/>
            <wp:positionH relativeFrom="margin">
              <wp:align>right</wp:align>
            </wp:positionH>
            <wp:positionV relativeFrom="paragraph">
              <wp:posOffset>71947</wp:posOffset>
            </wp:positionV>
            <wp:extent cx="5943600" cy="2809240"/>
            <wp:effectExtent l="0" t="0" r="0" b="10160"/>
            <wp:wrapNone/>
            <wp:docPr id="145118505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05AB33" w14:textId="39C45BA9" w:rsidR="004E4CA4" w:rsidRDefault="004E4CA4" w:rsidP="00B62269">
      <w:pPr>
        <w:rPr>
          <w:lang w:val="es-ES"/>
        </w:rPr>
      </w:pPr>
    </w:p>
    <w:p w14:paraId="4CA763FF" w14:textId="77777777" w:rsidR="004E4CA4" w:rsidRPr="00B62269" w:rsidRDefault="004E4CA4" w:rsidP="00B62269">
      <w:pPr>
        <w:rPr>
          <w:lang w:val="es-ES"/>
        </w:rPr>
      </w:pPr>
    </w:p>
    <w:p w14:paraId="0B874BD9" w14:textId="77777777" w:rsidR="004E4CA4" w:rsidRDefault="004E4CA4" w:rsidP="00B62269">
      <w:pPr>
        <w:rPr>
          <w:lang w:val="es-ES"/>
        </w:rPr>
      </w:pPr>
    </w:p>
    <w:p w14:paraId="15B9A003" w14:textId="77777777" w:rsidR="004E4CA4" w:rsidRDefault="004E4CA4" w:rsidP="00B62269">
      <w:pPr>
        <w:rPr>
          <w:lang w:val="es-ES"/>
        </w:rPr>
      </w:pPr>
    </w:p>
    <w:p w14:paraId="5D8B6D6A" w14:textId="77777777" w:rsidR="004E4CA4" w:rsidRDefault="004E4CA4" w:rsidP="00B62269">
      <w:pPr>
        <w:rPr>
          <w:lang w:val="es-ES"/>
        </w:rPr>
      </w:pPr>
    </w:p>
    <w:p w14:paraId="6ECE38B5" w14:textId="77777777" w:rsidR="004E4CA4" w:rsidRDefault="004E4CA4" w:rsidP="00B62269">
      <w:pPr>
        <w:rPr>
          <w:lang w:val="es-ES"/>
        </w:rPr>
      </w:pPr>
    </w:p>
    <w:p w14:paraId="717BE7F6" w14:textId="779C199B" w:rsidR="004E4CA4" w:rsidRDefault="004E4CA4" w:rsidP="00B62269">
      <w:pPr>
        <w:rPr>
          <w:lang w:val="es-ES"/>
        </w:rPr>
      </w:pPr>
    </w:p>
    <w:p w14:paraId="4B918C72" w14:textId="2621732B" w:rsidR="004E4CA4" w:rsidRDefault="004E4CA4" w:rsidP="00B62269">
      <w:pPr>
        <w:rPr>
          <w:lang w:val="es-ES"/>
        </w:rPr>
      </w:pPr>
    </w:p>
    <w:p w14:paraId="267D527B" w14:textId="3A8F3AC2" w:rsidR="004E4CA4" w:rsidRDefault="00DF7901" w:rsidP="00B62269">
      <w:pPr>
        <w:rPr>
          <w:lang w:val="es-ES"/>
        </w:rPr>
      </w:pPr>
      <w:r w:rsidRPr="004E4CA4">
        <w:rPr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4E9142A" wp14:editId="4BD0FFC8">
                <wp:simplePos x="0" y="0"/>
                <wp:positionH relativeFrom="column">
                  <wp:posOffset>-127605</wp:posOffset>
                </wp:positionH>
                <wp:positionV relativeFrom="paragraph">
                  <wp:posOffset>266153</wp:posOffset>
                </wp:positionV>
                <wp:extent cx="6741042" cy="255181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1042" cy="2551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E4675" w14:textId="175B58DF" w:rsidR="004E4CA4" w:rsidRPr="004E4CA4" w:rsidRDefault="004E4CA4">
                            <w:pPr>
                              <w:rPr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4E4CA4">
                              <w:rPr>
                                <w:sz w:val="14"/>
                                <w:szCs w:val="14"/>
                                <w:lang w:val="es-ES"/>
                              </w:rPr>
                              <w:t>Fuente: Analisis de ALTA basado en estados financieros aerolíneas (equivalente al 79% del tráfico)</w:t>
                            </w:r>
                            <w:r w:rsidR="003E0CFF">
                              <w:rPr>
                                <w:sz w:val="14"/>
                                <w:szCs w:val="14"/>
                                <w:lang w:val="es-ES"/>
                              </w:rPr>
                              <w:t>, US DOT y EASA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914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05pt;margin-top:20.95pt;width:530.8pt;height:20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" filled="f" stroked="f">
                <v:textbox>
                  <w:txbxContent>
                    <w:p w14:paraId="572E4675" w14:textId="175B58DF" w:rsidR="004E4CA4" w:rsidRPr="004E4CA4" w:rsidRDefault="004E4CA4">
                      <w:pPr>
                        <w:rPr>
                          <w:sz w:val="14"/>
                          <w:szCs w:val="14"/>
                          <w:lang w:val="es-ES"/>
                        </w:rPr>
                      </w:pPr>
                      <w:r w:rsidRPr="004E4CA4">
                        <w:rPr>
                          <w:sz w:val="14"/>
                          <w:szCs w:val="14"/>
                          <w:lang w:val="es-ES"/>
                        </w:rPr>
                        <w:t>Fuente: Analisis de ALTA basado en estados financieros aerolíneas (equivalente al 79% del tráfico)</w:t>
                      </w:r>
                      <w:r w:rsidR="003E0CFF">
                        <w:rPr>
                          <w:sz w:val="14"/>
                          <w:szCs w:val="14"/>
                          <w:lang w:val="es-ES"/>
                        </w:rPr>
                        <w:t>, US DOT y EASA</w:t>
                      </w:r>
                    </w:p>
                  </w:txbxContent>
                </v:textbox>
              </v:shape>
            </w:pict>
          </mc:Fallback>
        </mc:AlternateContent>
      </w:r>
    </w:p>
    <w:p w14:paraId="057F5778" w14:textId="77777777" w:rsidR="004E4CA4" w:rsidRDefault="004E4CA4" w:rsidP="00B62269">
      <w:pPr>
        <w:rPr>
          <w:lang w:val="es-ES"/>
        </w:rPr>
      </w:pPr>
    </w:p>
    <w:p w14:paraId="3FCD0D11" w14:textId="77777777" w:rsidR="004E4CA4" w:rsidRDefault="004E4CA4" w:rsidP="00B62269">
      <w:pPr>
        <w:rPr>
          <w:lang w:val="es-ES"/>
        </w:rPr>
      </w:pPr>
    </w:p>
    <w:p w14:paraId="737E358C" w14:textId="014B461A" w:rsidR="00B62269" w:rsidRDefault="00B62269" w:rsidP="00B62269">
      <w:pPr>
        <w:rPr>
          <w:lang w:val="es-ES"/>
        </w:rPr>
      </w:pPr>
      <w:r w:rsidRPr="00B62269">
        <w:rPr>
          <w:lang w:val="es-ES"/>
        </w:rPr>
        <w:t>Número de viajes per cápita actual de estas regiones.</w:t>
      </w:r>
    </w:p>
    <w:p w14:paraId="67E509F0" w14:textId="23E227F9" w:rsidR="00DF7901" w:rsidRDefault="00DF7901" w:rsidP="00B62269">
      <w:pPr>
        <w:rPr>
          <w:lang w:val="es-ES"/>
        </w:rPr>
      </w:pPr>
      <w:r>
        <w:rPr>
          <w:lang w:val="es-ES"/>
        </w:rPr>
        <w:t>LAC: 0.62</w:t>
      </w:r>
    </w:p>
    <w:p w14:paraId="25997374" w14:textId="55B50827" w:rsidR="00DF7901" w:rsidRDefault="00DF7901" w:rsidP="00B62269">
      <w:pPr>
        <w:rPr>
          <w:lang w:val="es-ES"/>
        </w:rPr>
      </w:pPr>
      <w:r>
        <w:rPr>
          <w:lang w:val="es-ES"/>
        </w:rPr>
        <w:t>Europa: 2.57</w:t>
      </w:r>
    </w:p>
    <w:p w14:paraId="20D375F6" w14:textId="4D30087E" w:rsidR="00DF7901" w:rsidRDefault="00DF7901" w:rsidP="00B62269">
      <w:pPr>
        <w:rPr>
          <w:lang w:val="es-ES"/>
        </w:rPr>
      </w:pPr>
      <w:r>
        <w:rPr>
          <w:lang w:val="es-ES"/>
        </w:rPr>
        <w:t>USA: 2.53</w:t>
      </w:r>
    </w:p>
    <w:p w14:paraId="4BD937A4" w14:textId="5F71AD97" w:rsidR="00B62269" w:rsidRDefault="00B62269" w:rsidP="00B62269">
      <w:pPr>
        <w:rPr>
          <w:lang w:val="es-ES"/>
        </w:rPr>
      </w:pPr>
      <w:r w:rsidRPr="00B62269">
        <w:rPr>
          <w:lang w:val="es-ES"/>
        </w:rPr>
        <w:t>Ubicación y número de proyectos o instalaciones actuales para la producción de SAF.</w:t>
      </w:r>
    </w:p>
    <w:p w14:paraId="09597618" w14:textId="3137615C" w:rsidR="00DF7901" w:rsidRDefault="006F0FE4" w:rsidP="006F0FE4">
      <w:pPr>
        <w:pStyle w:val="ListParagraph"/>
        <w:numPr>
          <w:ilvl w:val="0"/>
          <w:numId w:val="1"/>
        </w:numPr>
        <w:rPr>
          <w:lang w:val="es-ES"/>
        </w:rPr>
      </w:pPr>
      <w:r w:rsidRPr="006F0FE4">
        <w:rPr>
          <w:lang w:val="es-ES"/>
        </w:rPr>
        <w:t>USA</w:t>
      </w:r>
    </w:p>
    <w:p w14:paraId="5B178C74" w14:textId="77777777" w:rsidR="006F0FE4" w:rsidRDefault="006F0FE4" w:rsidP="006F0FE4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World</w:t>
      </w:r>
      <w:proofErr w:type="spellEnd"/>
      <w:r>
        <w:rPr>
          <w:lang w:val="es-ES"/>
        </w:rPr>
        <w:t xml:space="preserve"> Energy - Paramount, California (144,000 toneladas/año)</w:t>
      </w:r>
    </w:p>
    <w:p w14:paraId="49B8ADEE" w14:textId="5C6DE748" w:rsidR="006F0FE4" w:rsidRDefault="006F0FE4" w:rsidP="006F0FE4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Montana </w:t>
      </w:r>
      <w:proofErr w:type="spellStart"/>
      <w:r>
        <w:rPr>
          <w:lang w:val="es-ES"/>
        </w:rPr>
        <w:t>Renewables</w:t>
      </w:r>
      <w:proofErr w:type="spellEnd"/>
      <w:r>
        <w:rPr>
          <w:lang w:val="es-ES"/>
        </w:rPr>
        <w:t xml:space="preserve"> – Green Falls, Montana (86,000 toneladas/año)  </w:t>
      </w:r>
    </w:p>
    <w:p w14:paraId="5C9AE1BD" w14:textId="77777777" w:rsidR="00C560D2" w:rsidRDefault="006F0FE4" w:rsidP="006F0FE4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EU </w:t>
      </w:r>
    </w:p>
    <w:p w14:paraId="2A980EA4" w14:textId="3CD2F869" w:rsidR="006F0FE4" w:rsidRDefault="006F0FE4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Phillips 66 – </w:t>
      </w:r>
      <w:proofErr w:type="spellStart"/>
      <w:r>
        <w:rPr>
          <w:lang w:val="es-ES"/>
        </w:rPr>
        <w:t>Humber</w:t>
      </w:r>
      <w:proofErr w:type="spellEnd"/>
      <w:r>
        <w:rPr>
          <w:lang w:val="es-ES"/>
        </w:rPr>
        <w:t>, UK</w:t>
      </w:r>
      <w:r w:rsidR="00C560D2">
        <w:rPr>
          <w:lang w:val="es-ES"/>
        </w:rPr>
        <w:t xml:space="preserve"> </w:t>
      </w:r>
    </w:p>
    <w:p w14:paraId="2710AACC" w14:textId="6962D538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Neste</w:t>
      </w:r>
      <w:proofErr w:type="spellEnd"/>
      <w:r>
        <w:rPr>
          <w:lang w:val="es-ES"/>
        </w:rPr>
        <w:t xml:space="preserve"> – </w:t>
      </w:r>
      <w:proofErr w:type="spellStart"/>
      <w:r>
        <w:rPr>
          <w:lang w:val="es-ES"/>
        </w:rPr>
        <w:t>Porvoo</w:t>
      </w:r>
      <w:proofErr w:type="spellEnd"/>
      <w:r>
        <w:rPr>
          <w:lang w:val="es-ES"/>
        </w:rPr>
        <w:t>, Finlandia (100,000 toneladas/año)</w:t>
      </w:r>
    </w:p>
    <w:p w14:paraId="3D0DB29E" w14:textId="76D82C3D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BP – </w:t>
      </w:r>
      <w:proofErr w:type="spellStart"/>
      <w:r>
        <w:rPr>
          <w:lang w:val="es-ES"/>
        </w:rPr>
        <w:t>Lingen</w:t>
      </w:r>
      <w:proofErr w:type="spellEnd"/>
      <w:r>
        <w:rPr>
          <w:lang w:val="es-ES"/>
        </w:rPr>
        <w:t xml:space="preserve">, Alemania </w:t>
      </w:r>
    </w:p>
    <w:p w14:paraId="3BB10A8A" w14:textId="11476921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OMV </w:t>
      </w:r>
      <w:proofErr w:type="gramStart"/>
      <w:r>
        <w:rPr>
          <w:lang w:val="es-ES"/>
        </w:rPr>
        <w:t xml:space="preserve">-  </w:t>
      </w:r>
      <w:proofErr w:type="spellStart"/>
      <w:r>
        <w:rPr>
          <w:lang w:val="es-ES"/>
        </w:rPr>
        <w:t>Schwechat</w:t>
      </w:r>
      <w:proofErr w:type="spellEnd"/>
      <w:proofErr w:type="gramEnd"/>
      <w:r>
        <w:rPr>
          <w:lang w:val="es-ES"/>
        </w:rPr>
        <w:t>, Austria</w:t>
      </w:r>
    </w:p>
    <w:p w14:paraId="2E2EF954" w14:textId="60C64569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TotalEnergies</w:t>
      </w:r>
      <w:proofErr w:type="spellEnd"/>
      <w:r>
        <w:rPr>
          <w:lang w:val="es-ES"/>
        </w:rPr>
        <w:t xml:space="preserve"> – </w:t>
      </w:r>
      <w:proofErr w:type="spellStart"/>
      <w:r>
        <w:rPr>
          <w:lang w:val="es-ES"/>
        </w:rPr>
        <w:t>Oudalle</w:t>
      </w:r>
      <w:proofErr w:type="spellEnd"/>
      <w:r>
        <w:rPr>
          <w:lang w:val="es-ES"/>
        </w:rPr>
        <w:t>, Francia</w:t>
      </w:r>
    </w:p>
    <w:p w14:paraId="0B3E787D" w14:textId="3332CDE9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ENI – Livorno, Italia (10,000 toneladas/año) </w:t>
      </w:r>
    </w:p>
    <w:p w14:paraId="38C51B9E" w14:textId="2723345C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ENI – Taranto, Italia </w:t>
      </w:r>
    </w:p>
    <w:p w14:paraId="6BF54766" w14:textId="14504763" w:rsidR="00C560D2" w:rsidRDefault="00C560D2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Repsol – Puertollano, España </w:t>
      </w:r>
    </w:p>
    <w:p w14:paraId="1869DB85" w14:textId="14BB1B88" w:rsidR="000460CF" w:rsidRDefault="000460CF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Repsol – </w:t>
      </w:r>
      <w:proofErr w:type="spellStart"/>
      <w:r>
        <w:rPr>
          <w:lang w:val="es-ES"/>
        </w:rPr>
        <w:t>Petronor</w:t>
      </w:r>
      <w:proofErr w:type="spellEnd"/>
      <w:r>
        <w:rPr>
          <w:lang w:val="es-ES"/>
        </w:rPr>
        <w:t xml:space="preserve">, España </w:t>
      </w:r>
    </w:p>
    <w:p w14:paraId="705AEBBE" w14:textId="65EF0A8A" w:rsidR="000460CF" w:rsidRDefault="000460CF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BP – Castellón, España </w:t>
      </w:r>
    </w:p>
    <w:p w14:paraId="6C69455F" w14:textId="65C312DA" w:rsidR="000460CF" w:rsidRDefault="000460CF" w:rsidP="00C560D2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Repsol – Tarragona – España </w:t>
      </w:r>
    </w:p>
    <w:p w14:paraId="568E1EDC" w14:textId="20431C65" w:rsidR="005C37E0" w:rsidRDefault="005C37E0" w:rsidP="005C37E0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lastRenderedPageBreak/>
        <w:t>ASPAC</w:t>
      </w:r>
    </w:p>
    <w:p w14:paraId="5D535AA2" w14:textId="7A12E312" w:rsid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Neste</w:t>
      </w:r>
      <w:proofErr w:type="spellEnd"/>
      <w:r>
        <w:rPr>
          <w:lang w:val="es-ES"/>
        </w:rPr>
        <w:t xml:space="preserve"> – </w:t>
      </w:r>
      <w:proofErr w:type="spellStart"/>
      <w:r>
        <w:rPr>
          <w:lang w:val="es-ES"/>
        </w:rPr>
        <w:t>Singapore</w:t>
      </w:r>
      <w:proofErr w:type="spellEnd"/>
      <w:r>
        <w:rPr>
          <w:lang w:val="es-ES"/>
        </w:rPr>
        <w:t xml:space="preserve"> (1,000,000 toneladas/año) </w:t>
      </w:r>
    </w:p>
    <w:p w14:paraId="583F230F" w14:textId="152986A2" w:rsidR="00DF7901" w:rsidRDefault="005C37E0" w:rsidP="00B62269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EcoCeres</w:t>
      </w:r>
      <w:proofErr w:type="spellEnd"/>
      <w:r>
        <w:rPr>
          <w:lang w:val="es-ES"/>
        </w:rPr>
        <w:t xml:space="preserve"> – Jiangsu, China (50,000 toneladas/año) </w:t>
      </w:r>
    </w:p>
    <w:p w14:paraId="7134475B" w14:textId="77777777" w:rsidR="005C37E0" w:rsidRDefault="005C37E0" w:rsidP="005C37E0">
      <w:pPr>
        <w:pStyle w:val="ListParagraph"/>
        <w:ind w:left="1440"/>
        <w:rPr>
          <w:lang w:val="es-ES"/>
        </w:rPr>
      </w:pPr>
    </w:p>
    <w:p w14:paraId="355E23DC" w14:textId="0296B6AE" w:rsidR="005C37E0" w:rsidRDefault="005C37E0" w:rsidP="005C37E0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LAC (anunciadas)</w:t>
      </w:r>
    </w:p>
    <w:p w14:paraId="4DCD42B6" w14:textId="02364505" w:rsid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SGP </w:t>
      </w:r>
      <w:proofErr w:type="spellStart"/>
      <w:r>
        <w:rPr>
          <w:lang w:val="es-ES"/>
        </w:rPr>
        <w:t>BioEnergy</w:t>
      </w:r>
      <w:proofErr w:type="spellEnd"/>
      <w:r>
        <w:rPr>
          <w:lang w:val="es-ES"/>
        </w:rPr>
        <w:t xml:space="preserve"> – </w:t>
      </w:r>
      <w:proofErr w:type="spellStart"/>
      <w:r>
        <w:rPr>
          <w:lang w:val="es-ES"/>
        </w:rPr>
        <w:t>Panama</w:t>
      </w:r>
      <w:proofErr w:type="spellEnd"/>
      <w:r>
        <w:rPr>
          <w:lang w:val="es-ES"/>
        </w:rPr>
        <w:t xml:space="preserve"> (2027)</w:t>
      </w:r>
    </w:p>
    <w:p w14:paraId="367D4437" w14:textId="58D61071" w:rsid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BioD</w:t>
      </w:r>
      <w:proofErr w:type="spellEnd"/>
      <w:r>
        <w:rPr>
          <w:lang w:val="es-ES"/>
        </w:rPr>
        <w:t xml:space="preserve"> – Colombia (2028)</w:t>
      </w:r>
    </w:p>
    <w:p w14:paraId="1B11AED0" w14:textId="78013B49" w:rsid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ECB </w:t>
      </w:r>
      <w:proofErr w:type="spellStart"/>
      <w:r>
        <w:rPr>
          <w:lang w:val="es-ES"/>
        </w:rPr>
        <w:t>Group</w:t>
      </w:r>
      <w:proofErr w:type="spellEnd"/>
      <w:r>
        <w:rPr>
          <w:lang w:val="es-ES"/>
        </w:rPr>
        <w:t xml:space="preserve"> – Paraguay (2025)</w:t>
      </w:r>
    </w:p>
    <w:p w14:paraId="23EA9172" w14:textId="5090755A" w:rsid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Brasil </w:t>
      </w:r>
      <w:proofErr w:type="spellStart"/>
      <w:r>
        <w:rPr>
          <w:lang w:val="es-ES"/>
        </w:rPr>
        <w:t>BioFuels</w:t>
      </w:r>
      <w:proofErr w:type="spellEnd"/>
      <w:r>
        <w:rPr>
          <w:lang w:val="es-ES"/>
        </w:rPr>
        <w:t xml:space="preserve"> – Brasil (2025)</w:t>
      </w:r>
    </w:p>
    <w:p w14:paraId="0F4C140F" w14:textId="7C5EAD3A" w:rsidR="005C37E0" w:rsidRPr="005C37E0" w:rsidRDefault="005C37E0" w:rsidP="005C37E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Petrobras – Brasil </w:t>
      </w:r>
      <w:r w:rsidR="00652976">
        <w:rPr>
          <w:lang w:val="es-ES"/>
        </w:rPr>
        <w:t>(2025)</w:t>
      </w:r>
    </w:p>
    <w:p w14:paraId="68D68C5E" w14:textId="6095395A" w:rsidR="00FE74BA" w:rsidRDefault="00B62269" w:rsidP="00B62269">
      <w:pPr>
        <w:rPr>
          <w:lang w:val="es-ES"/>
        </w:rPr>
      </w:pPr>
      <w:r w:rsidRPr="00B62269">
        <w:rPr>
          <w:lang w:val="es-ES"/>
        </w:rPr>
        <w:t>Origen de las principales empresas que actualmente están produciendo SAF.</w:t>
      </w:r>
    </w:p>
    <w:p w14:paraId="2E341578" w14:textId="55469BEC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World</w:t>
      </w:r>
      <w:proofErr w:type="spellEnd"/>
      <w:r>
        <w:rPr>
          <w:lang w:val="es-ES"/>
        </w:rPr>
        <w:t xml:space="preserve"> Energy: USA</w:t>
      </w:r>
    </w:p>
    <w:p w14:paraId="2C688D6D" w14:textId="36082839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Montana </w:t>
      </w:r>
      <w:proofErr w:type="spellStart"/>
      <w:r w:rsidR="00F55695">
        <w:rPr>
          <w:lang w:val="es-ES"/>
        </w:rPr>
        <w:t>R</w:t>
      </w:r>
      <w:r>
        <w:rPr>
          <w:lang w:val="es-ES"/>
        </w:rPr>
        <w:t>enewables</w:t>
      </w:r>
      <w:proofErr w:type="spellEnd"/>
      <w:r>
        <w:rPr>
          <w:lang w:val="es-ES"/>
        </w:rPr>
        <w:t>: USA</w:t>
      </w:r>
    </w:p>
    <w:p w14:paraId="4E04C478" w14:textId="1124AB60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Phillips 66 - USA</w:t>
      </w:r>
    </w:p>
    <w:p w14:paraId="60DFE258" w14:textId="435D764E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NEste</w:t>
      </w:r>
      <w:proofErr w:type="spellEnd"/>
      <w:r>
        <w:rPr>
          <w:lang w:val="es-ES"/>
        </w:rPr>
        <w:t>: Finlandia</w:t>
      </w:r>
    </w:p>
    <w:p w14:paraId="0327D87C" w14:textId="4C7D8EEA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BP – Reino Unido</w:t>
      </w:r>
    </w:p>
    <w:p w14:paraId="4DBB53F9" w14:textId="4D1B25A2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EcoCeres</w:t>
      </w:r>
      <w:proofErr w:type="spellEnd"/>
      <w:r>
        <w:rPr>
          <w:lang w:val="es-ES"/>
        </w:rPr>
        <w:t xml:space="preserve"> – Hong Kong</w:t>
      </w:r>
    </w:p>
    <w:p w14:paraId="3464C320" w14:textId="110FC2F9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proofErr w:type="gramStart"/>
      <w:r>
        <w:rPr>
          <w:lang w:val="es-ES"/>
        </w:rPr>
        <w:t>Total</w:t>
      </w:r>
      <w:proofErr w:type="gramEnd"/>
      <w:r>
        <w:rPr>
          <w:lang w:val="es-ES"/>
        </w:rPr>
        <w:t xml:space="preserve"> </w:t>
      </w:r>
      <w:proofErr w:type="spellStart"/>
      <w:r>
        <w:rPr>
          <w:lang w:val="es-ES"/>
        </w:rPr>
        <w:t>Energies</w:t>
      </w:r>
      <w:proofErr w:type="spellEnd"/>
      <w:r>
        <w:rPr>
          <w:lang w:val="es-ES"/>
        </w:rPr>
        <w:t xml:space="preserve"> – Francia</w:t>
      </w:r>
    </w:p>
    <w:p w14:paraId="2B49D65C" w14:textId="0EE66679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ENI – Italia</w:t>
      </w:r>
    </w:p>
    <w:p w14:paraId="1130C965" w14:textId="0A97FE6F" w:rsid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Repsol – España </w:t>
      </w:r>
    </w:p>
    <w:p w14:paraId="0E183C72" w14:textId="74077D45" w:rsidR="00652976" w:rsidRPr="00652976" w:rsidRDefault="00652976" w:rsidP="0065297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OMV - Austria</w:t>
      </w:r>
    </w:p>
    <w:p w14:paraId="7B12D13C" w14:textId="3AA14AE1" w:rsidR="00B62269" w:rsidRDefault="00B62269" w:rsidP="00B62269">
      <w:pPr>
        <w:rPr>
          <w:lang w:val="es-ES"/>
        </w:rPr>
      </w:pPr>
      <w:r w:rsidRPr="00B62269">
        <w:rPr>
          <w:lang w:val="es-ES"/>
        </w:rPr>
        <w:t xml:space="preserve">Edad media de las flotas en Europa, </w:t>
      </w:r>
      <w:proofErr w:type="gramStart"/>
      <w:r w:rsidRPr="00B62269">
        <w:rPr>
          <w:lang w:val="es-ES"/>
        </w:rPr>
        <w:t>EEUU</w:t>
      </w:r>
      <w:proofErr w:type="gramEnd"/>
      <w:r w:rsidRPr="00B62269">
        <w:rPr>
          <w:lang w:val="es-ES"/>
        </w:rPr>
        <w:t xml:space="preserve"> y América Latina</w:t>
      </w:r>
    </w:p>
    <w:p w14:paraId="058E2A44" w14:textId="0880D4A3" w:rsidR="006F0FE4" w:rsidRDefault="00652976" w:rsidP="00B62269">
      <w:pPr>
        <w:rPr>
          <w:lang w:val="es-ES"/>
        </w:rPr>
      </w:pPr>
      <w:r w:rsidRPr="00A4594C">
        <w:rPr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4089D268" wp14:editId="790123BF">
            <wp:simplePos x="0" y="0"/>
            <wp:positionH relativeFrom="margin">
              <wp:align>left</wp:align>
            </wp:positionH>
            <wp:positionV relativeFrom="paragraph">
              <wp:posOffset>4607</wp:posOffset>
            </wp:positionV>
            <wp:extent cx="4125433" cy="2030730"/>
            <wp:effectExtent l="0" t="0" r="8890" b="7620"/>
            <wp:wrapNone/>
            <wp:docPr id="113920482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42DD21EE-A09D-4C0E-A613-2917F800B1E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D1ADE2" w14:textId="4ECAB499" w:rsidR="006F0FE4" w:rsidRPr="00B62269" w:rsidRDefault="006F0FE4" w:rsidP="00B62269">
      <w:pPr>
        <w:rPr>
          <w:lang w:val="es-ES"/>
        </w:rPr>
      </w:pPr>
    </w:p>
    <w:p w14:paraId="6D58B086" w14:textId="78F682B8" w:rsidR="00652976" w:rsidRDefault="00652976" w:rsidP="00B62269">
      <w:pPr>
        <w:rPr>
          <w:lang w:val="es-ES"/>
        </w:rPr>
      </w:pPr>
    </w:p>
    <w:p w14:paraId="01A39BF6" w14:textId="59397C91" w:rsidR="00652976" w:rsidRDefault="00652976" w:rsidP="00B62269">
      <w:pPr>
        <w:rPr>
          <w:lang w:val="es-ES"/>
        </w:rPr>
      </w:pPr>
    </w:p>
    <w:p w14:paraId="0FE52DF9" w14:textId="77777777" w:rsidR="00652976" w:rsidRDefault="00652976" w:rsidP="00B62269">
      <w:pPr>
        <w:rPr>
          <w:lang w:val="es-ES"/>
        </w:rPr>
      </w:pPr>
    </w:p>
    <w:p w14:paraId="28EB8F04" w14:textId="77777777" w:rsidR="00652976" w:rsidRDefault="00652976" w:rsidP="00B62269">
      <w:pPr>
        <w:rPr>
          <w:lang w:val="es-ES"/>
        </w:rPr>
      </w:pPr>
    </w:p>
    <w:p w14:paraId="253A8376" w14:textId="5F825EF9" w:rsidR="00652976" w:rsidRDefault="00652976" w:rsidP="00B62269">
      <w:pPr>
        <w:rPr>
          <w:lang w:val="es-ES"/>
        </w:rPr>
      </w:pPr>
    </w:p>
    <w:p w14:paraId="225776A5" w14:textId="77777777" w:rsidR="00652976" w:rsidRDefault="00652976" w:rsidP="00B62269">
      <w:pPr>
        <w:rPr>
          <w:lang w:val="es-ES"/>
        </w:rPr>
      </w:pPr>
    </w:p>
    <w:p w14:paraId="06F16BF4" w14:textId="091F154D" w:rsidR="00B62269" w:rsidRDefault="00B62269" w:rsidP="00B62269">
      <w:pPr>
        <w:rPr>
          <w:lang w:val="es-ES"/>
        </w:rPr>
      </w:pPr>
      <w:r w:rsidRPr="00B62269">
        <w:rPr>
          <w:lang w:val="es-ES"/>
        </w:rPr>
        <w:t>Distancia media de los vuelos en estas regiones</w:t>
      </w:r>
    </w:p>
    <w:p w14:paraId="1C6112FD" w14:textId="2C0DE36F" w:rsidR="00652976" w:rsidRPr="0045303E" w:rsidRDefault="0087557B" w:rsidP="00B62269">
      <w:r w:rsidRPr="0045303E">
        <w:t>LAC: 1,505 kms</w:t>
      </w:r>
    </w:p>
    <w:p w14:paraId="05B5D1B7" w14:textId="3F80FE70" w:rsidR="0087557B" w:rsidRPr="0045303E" w:rsidRDefault="0087557B" w:rsidP="00B62269">
      <w:r w:rsidRPr="0045303E">
        <w:t>EU: 1,796 kms</w:t>
      </w:r>
    </w:p>
    <w:p w14:paraId="74C13495" w14:textId="7E6C2708" w:rsidR="0087557B" w:rsidRPr="0045303E" w:rsidRDefault="0087557B" w:rsidP="00B62269">
      <w:r w:rsidRPr="0045303E">
        <w:t xml:space="preserve">NAM: 1,693 kms </w:t>
      </w:r>
    </w:p>
    <w:sectPr w:rsidR="0087557B" w:rsidRPr="0045303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811AB" w14:textId="77777777" w:rsidR="0041776B" w:rsidRDefault="0041776B" w:rsidP="00652976">
      <w:pPr>
        <w:spacing w:after="0" w:line="240" w:lineRule="auto"/>
      </w:pPr>
      <w:r>
        <w:separator/>
      </w:r>
    </w:p>
  </w:endnote>
  <w:endnote w:type="continuationSeparator" w:id="0">
    <w:p w14:paraId="3625B27E" w14:textId="77777777" w:rsidR="0041776B" w:rsidRDefault="0041776B" w:rsidP="00652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6FD18" w14:textId="77777777" w:rsidR="0041776B" w:rsidRDefault="0041776B" w:rsidP="00652976">
      <w:pPr>
        <w:spacing w:after="0" w:line="240" w:lineRule="auto"/>
      </w:pPr>
      <w:r>
        <w:separator/>
      </w:r>
    </w:p>
  </w:footnote>
  <w:footnote w:type="continuationSeparator" w:id="0">
    <w:p w14:paraId="72E06A8D" w14:textId="77777777" w:rsidR="0041776B" w:rsidRDefault="0041776B" w:rsidP="00652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E7B36" w14:textId="67D56CDA" w:rsidR="00652976" w:rsidRDefault="00652976">
    <w:pPr>
      <w:pStyle w:val="Header"/>
    </w:pPr>
    <w:r w:rsidRPr="00652976">
      <w:rPr>
        <w:noProof/>
      </w:rPr>
      <w:drawing>
        <wp:anchor distT="0" distB="0" distL="114300" distR="114300" simplePos="0" relativeHeight="251658240" behindDoc="0" locked="0" layoutInCell="1" allowOverlap="1" wp14:anchorId="01BDCB9A" wp14:editId="4F7B60C7">
          <wp:simplePos x="0" y="0"/>
          <wp:positionH relativeFrom="column">
            <wp:posOffset>5401340</wp:posOffset>
          </wp:positionH>
          <wp:positionV relativeFrom="paragraph">
            <wp:posOffset>-191386</wp:posOffset>
          </wp:positionV>
          <wp:extent cx="1167423" cy="374728"/>
          <wp:effectExtent l="0" t="0" r="0" b="6350"/>
          <wp:wrapNone/>
          <wp:docPr id="3" name="Imagen 2" descr="Imagen que contiene objeto, reloj, dibujo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9C5B9851-94D2-C5C5-361D-9189573B243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 descr="Imagen que contiene objeto, reloj, dibujo&#10;&#10;Descripción generada automáticamente">
                    <a:extLst>
                      <a:ext uri="{FF2B5EF4-FFF2-40B4-BE49-F238E27FC236}">
                        <a16:creationId xmlns:a16="http://schemas.microsoft.com/office/drawing/2014/main" id="{9C5B9851-94D2-C5C5-361D-9189573B243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7423" cy="3747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65DDE"/>
    <w:multiLevelType w:val="hybridMultilevel"/>
    <w:tmpl w:val="D2FA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D03E0"/>
    <w:multiLevelType w:val="hybridMultilevel"/>
    <w:tmpl w:val="C3646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833745">
    <w:abstractNumId w:val="1"/>
  </w:num>
  <w:num w:numId="2" w16cid:durableId="1081755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69"/>
    <w:rsid w:val="00005198"/>
    <w:rsid w:val="000460CF"/>
    <w:rsid w:val="00384B2C"/>
    <w:rsid w:val="003E0CFF"/>
    <w:rsid w:val="0041776B"/>
    <w:rsid w:val="00436342"/>
    <w:rsid w:val="0045303E"/>
    <w:rsid w:val="004E4CA4"/>
    <w:rsid w:val="00591CE1"/>
    <w:rsid w:val="005C37E0"/>
    <w:rsid w:val="00652976"/>
    <w:rsid w:val="006F0FE4"/>
    <w:rsid w:val="007D37DD"/>
    <w:rsid w:val="007E1FA6"/>
    <w:rsid w:val="0087557B"/>
    <w:rsid w:val="00B03713"/>
    <w:rsid w:val="00B57B76"/>
    <w:rsid w:val="00B62269"/>
    <w:rsid w:val="00C0025D"/>
    <w:rsid w:val="00C560D2"/>
    <w:rsid w:val="00DF7901"/>
    <w:rsid w:val="00F55695"/>
    <w:rsid w:val="00FE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B3E94"/>
  <w15:chartTrackingRefBased/>
  <w15:docId w15:val="{C9FB5997-A0F8-4A67-9851-7A28816BD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F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2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976"/>
  </w:style>
  <w:style w:type="paragraph" w:styleId="Footer">
    <w:name w:val="footer"/>
    <w:basedOn w:val="Normal"/>
    <w:link w:val="FooterChar"/>
    <w:uiPriority w:val="99"/>
    <w:unhideWhenUsed/>
    <w:rsid w:val="00652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Consumo</a:t>
            </a:r>
            <a:r>
              <a:rPr lang="en-US" baseline="0"/>
              <a:t> Combustible por 100RPK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LAC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cat>
            <c:numRef>
              <c:f>Sheet1!$A$2:$A$13</c:f>
              <c:numCache>
                <c:formatCode>0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Sheet1!$B$2:$B$13</c:f>
              <c:numCache>
                <c:formatCode>_(* #,##0.000_);_(* \(#,##0.000\);_(* "-"??_);_(@_)</c:formatCode>
                <c:ptCount val="12"/>
                <c:pt idx="0">
                  <c:v>1.2607598917865646</c:v>
                </c:pt>
                <c:pt idx="1">
                  <c:v>1.2310628892137565</c:v>
                </c:pt>
                <c:pt idx="2">
                  <c:v>1.1839154805843857</c:v>
                </c:pt>
                <c:pt idx="3">
                  <c:v>1.13435174689935</c:v>
                </c:pt>
                <c:pt idx="4">
                  <c:v>1.1116032085565548</c:v>
                </c:pt>
                <c:pt idx="5">
                  <c:v>1.0673595640697242</c:v>
                </c:pt>
                <c:pt idx="6">
                  <c:v>1.019635641044943</c:v>
                </c:pt>
                <c:pt idx="7">
                  <c:v>1.0049999999999999</c:v>
                </c:pt>
                <c:pt idx="8">
                  <c:v>0.98951299738854492</c:v>
                </c:pt>
                <c:pt idx="9">
                  <c:v>1.1299999999999999</c:v>
                </c:pt>
                <c:pt idx="10">
                  <c:v>0.9809598690979755</c:v>
                </c:pt>
                <c:pt idx="11">
                  <c:v>0.89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EC5-42AC-A111-4F06E07681B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USA</c:v>
                </c:pt>
              </c:strCache>
            </c:strRef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cat>
            <c:numRef>
              <c:f>Sheet1!$A$2:$A$13</c:f>
              <c:numCache>
                <c:formatCode>0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1.254775</c:v>
                </c:pt>
                <c:pt idx="1">
                  <c:v>1.204108</c:v>
                </c:pt>
                <c:pt idx="2">
                  <c:v>1.182777</c:v>
                </c:pt>
                <c:pt idx="3">
                  <c:v>1.17334</c:v>
                </c:pt>
                <c:pt idx="4">
                  <c:v>1.1589</c:v>
                </c:pt>
                <c:pt idx="5">
                  <c:v>1.141211</c:v>
                </c:pt>
                <c:pt idx="6">
                  <c:v>1.120919</c:v>
                </c:pt>
                <c:pt idx="7">
                  <c:v>1.104069</c:v>
                </c:pt>
                <c:pt idx="8">
                  <c:v>1.0816790000000001</c:v>
                </c:pt>
                <c:pt idx="9">
                  <c:v>1.6988589999999999</c:v>
                </c:pt>
                <c:pt idx="10">
                  <c:v>1.252448</c:v>
                </c:pt>
                <c:pt idx="11">
                  <c:v>1.098128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B70-4103-9EFF-8C15C577DC22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EU</c:v>
                </c:pt>
              </c:strCache>
            </c:strRef>
          </c:tx>
          <c:spPr>
            <a:ln w="28575" cap="rnd">
              <a:solidFill>
                <a:srgbClr val="ED7D31"/>
              </a:solidFill>
              <a:round/>
            </a:ln>
            <a:effectLst/>
          </c:spPr>
          <c:marker>
            <c:symbol val="none"/>
          </c:marker>
          <c:cat>
            <c:numRef>
              <c:f>Sheet1!$A$2:$A$13</c:f>
              <c:numCache>
                <c:formatCode>0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Sheet1!$D$2:$D$13</c:f>
              <c:numCache>
                <c:formatCode>_("$"* #,##0.000_);_("$"* \(#,##0.000\);_("$"* "-"??_);_(@_)</c:formatCode>
                <c:ptCount val="12"/>
                <c:pt idx="0">
                  <c:v>1.216</c:v>
                </c:pt>
                <c:pt idx="1">
                  <c:v>1.15333</c:v>
                </c:pt>
                <c:pt idx="2" formatCode="General">
                  <c:v>1.1171899999999999</c:v>
                </c:pt>
                <c:pt idx="3" formatCode="General">
                  <c:v>1.0987899999999999</c:v>
                </c:pt>
                <c:pt idx="4" formatCode="General">
                  <c:v>1.0848800000000001</c:v>
                </c:pt>
                <c:pt idx="5" formatCode="General">
                  <c:v>1.06776</c:v>
                </c:pt>
                <c:pt idx="6" formatCode="General">
                  <c:v>0.99255000000000004</c:v>
                </c:pt>
                <c:pt idx="7" formatCode="General">
                  <c:v>0.97665000000000002</c:v>
                </c:pt>
                <c:pt idx="8" formatCode="General">
                  <c:v>0.96945000000000003</c:v>
                </c:pt>
                <c:pt idx="9" formatCode="General">
                  <c:v>1.3865799999999999</c:v>
                </c:pt>
                <c:pt idx="10" formatCode="General">
                  <c:v>1.29084</c:v>
                </c:pt>
                <c:pt idx="11" formatCode="General">
                  <c:v>0.96528000000000003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E4A-4CB7-8D06-9243B82FD1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38164175"/>
        <c:axId val="538165615"/>
      </c:lineChart>
      <c:catAx>
        <c:axId val="538164175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8165615"/>
        <c:crosses val="autoZero"/>
        <c:auto val="1"/>
        <c:lblAlgn val="ctr"/>
        <c:lblOffset val="100"/>
        <c:noMultiLvlLbl val="0"/>
      </c:catAx>
      <c:valAx>
        <c:axId val="538165615"/>
        <c:scaling>
          <c:orientation val="minMax"/>
          <c:min val="0.70000000000000007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Galones</a:t>
                </a:r>
                <a:r>
                  <a:rPr lang="en-US" baseline="0"/>
                  <a:t> por 100RPK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.000_);_(* \(#,##0.00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816417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/>
              <a:t>Edad Promedio Flota</a:t>
            </a:r>
            <a:r>
              <a:rPr lang="en-US" sz="1000" baseline="0"/>
              <a:t> (2022</a:t>
            </a:r>
            <a:r>
              <a:rPr lang="en-US" sz="1000"/>
              <a:t>)</a:t>
            </a:r>
          </a:p>
        </c:rich>
      </c:tx>
      <c:layout>
        <c:manualLayout>
          <c:xMode val="edge"/>
          <c:yMode val="edge"/>
          <c:x val="0.22576872008645982"/>
          <c:y val="4.7691277084088338E-2"/>
          <c:w val="0.45323200000000002"/>
          <c:h val="0.17977599999999999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6079203334877257"/>
          <c:y val="0.17977589478180536"/>
          <c:w val="0.78696433534043542"/>
          <c:h val="0.700532000000000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7030A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7588-4B07-B0CE-C5F3FF2D85DF}"/>
              </c:ext>
            </c:extLst>
          </c:dPt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ALTA</c:v>
                </c:pt>
                <c:pt idx="1">
                  <c:v>LAC</c:v>
                </c:pt>
                <c:pt idx="2">
                  <c:v>USA</c:v>
                </c:pt>
                <c:pt idx="3">
                  <c:v>EU</c:v>
                </c:pt>
              </c:strCache>
            </c:strRef>
          </c:cat>
          <c:val>
            <c:numRef>
              <c:f>Sheet1!$B$2:$B$5</c:f>
              <c:numCache>
                <c:formatCode>_(* #,##0.00_);_(* \(#,##0.00\);_(* "-"??_);_(@_)</c:formatCode>
                <c:ptCount val="4"/>
                <c:pt idx="0">
                  <c:v>9.9</c:v>
                </c:pt>
                <c:pt idx="1">
                  <c:v>14.2</c:v>
                </c:pt>
                <c:pt idx="2">
                  <c:v>12.15</c:v>
                </c:pt>
                <c:pt idx="3">
                  <c:v>12.22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588-4B07-B0CE-C5F3FF2D85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94734552"/>
        <c:axId val="2094734553"/>
      </c:barChart>
      <c:catAx>
        <c:axId val="20947345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94734553"/>
        <c:crosses val="autoZero"/>
        <c:auto val="1"/>
        <c:lblAlgn val="ctr"/>
        <c:lblOffset val="100"/>
        <c:noMultiLvlLbl val="1"/>
      </c:catAx>
      <c:valAx>
        <c:axId val="2094734553"/>
        <c:scaling>
          <c:orientation val="minMax"/>
          <c:min val="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700"/>
                  <a:t>Average Age</a:t>
                </a:r>
              </a:p>
            </c:rich>
          </c:tx>
          <c:overlay val="1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7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94734552"/>
        <c:crosses val="autoZero"/>
        <c:crossBetween val="between"/>
        <c:majorUnit val="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1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 2007 - 2010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Sarmiento</dc:creator>
  <cp:keywords/>
  <dc:description/>
  <cp:lastModifiedBy>Juan Sarmiento</cp:lastModifiedBy>
  <cp:revision>12</cp:revision>
  <dcterms:created xsi:type="dcterms:W3CDTF">2023-10-18T18:02:00Z</dcterms:created>
  <dcterms:modified xsi:type="dcterms:W3CDTF">2023-10-18T21:32:00Z</dcterms:modified>
</cp:coreProperties>
</file>