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theme/themeOverride3.xml" ContentType="application/vnd.openxmlformats-officedocument.themeOverrid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4"/>
        <w:tblpPr w:leftFromText="141" w:rightFromText="141" w:vertAnchor="page" w:horzAnchor="margin" w:tblpXSpec="center" w:tblpY="5421"/>
        <w:tblW w:w="3208" w:type="pct"/>
        <w:tblLook w:val="04A0" w:firstRow="1" w:lastRow="0" w:firstColumn="1" w:lastColumn="0" w:noHBand="0" w:noVBand="1"/>
      </w:tblPr>
      <w:tblGrid>
        <w:gridCol w:w="2000"/>
        <w:gridCol w:w="729"/>
        <w:gridCol w:w="749"/>
        <w:gridCol w:w="866"/>
        <w:gridCol w:w="1661"/>
      </w:tblGrid>
      <w:tr w:rsidR="00924677" w:rsidRPr="004170B2" w14:paraId="13EA9DAD" w14:textId="77777777" w:rsidTr="00BE14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pct"/>
            <w:noWrap/>
            <w:vAlign w:val="center"/>
          </w:tcPr>
          <w:p w14:paraId="6444E8D5" w14:textId="77777777" w:rsidR="00924677" w:rsidRPr="004170B2" w:rsidRDefault="00924677" w:rsidP="00BE14C4">
            <w:pPr>
              <w:jc w:val="center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Pilar</w:t>
            </w:r>
          </w:p>
        </w:tc>
        <w:tc>
          <w:tcPr>
            <w:tcW w:w="607" w:type="pct"/>
            <w:noWrap/>
            <w:vAlign w:val="center"/>
          </w:tcPr>
          <w:p w14:paraId="42A5135D" w14:textId="77777777" w:rsidR="00924677" w:rsidRPr="004170B2" w:rsidRDefault="00924677" w:rsidP="00BE14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Puntaje</w:t>
            </w:r>
          </w:p>
        </w:tc>
        <w:tc>
          <w:tcPr>
            <w:tcW w:w="624" w:type="pct"/>
            <w:noWrap/>
            <w:vAlign w:val="center"/>
          </w:tcPr>
          <w:p w14:paraId="51E4A469" w14:textId="77777777" w:rsidR="00924677" w:rsidRPr="004170B2" w:rsidRDefault="00924677" w:rsidP="00BE14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Ranking</w:t>
            </w:r>
          </w:p>
        </w:tc>
        <w:tc>
          <w:tcPr>
            <w:tcW w:w="721" w:type="pct"/>
            <w:noWrap/>
            <w:vAlign w:val="center"/>
          </w:tcPr>
          <w:p w14:paraId="4B8430E0" w14:textId="77777777" w:rsidR="00924677" w:rsidRPr="004170B2" w:rsidRDefault="00924677" w:rsidP="00BE14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Promedio</w:t>
            </w:r>
          </w:p>
        </w:tc>
        <w:tc>
          <w:tcPr>
            <w:tcW w:w="1384" w:type="pct"/>
            <w:noWrap/>
            <w:vAlign w:val="center"/>
          </w:tcPr>
          <w:p w14:paraId="2953EE53" w14:textId="77777777" w:rsidR="00924677" w:rsidRPr="004170B2" w:rsidRDefault="00924677" w:rsidP="00BE14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Mejor País</w:t>
            </w:r>
          </w:p>
        </w:tc>
      </w:tr>
      <w:tr w:rsidR="004170B2" w:rsidRPr="004170B2" w14:paraId="4D94614F" w14:textId="77777777" w:rsidTr="00291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pct"/>
            <w:noWrap/>
            <w:vAlign w:val="center"/>
            <w:hideMark/>
          </w:tcPr>
          <w:p w14:paraId="2AAFC02E" w14:textId="2A3ABC8F" w:rsidR="004170B2" w:rsidRPr="004170B2" w:rsidRDefault="004170B2" w:rsidP="004170B2">
            <w:pPr>
              <w:jc w:val="center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Conectividad Internacional</w:t>
            </w:r>
          </w:p>
        </w:tc>
        <w:tc>
          <w:tcPr>
            <w:tcW w:w="607" w:type="pct"/>
            <w:noWrap/>
            <w:hideMark/>
          </w:tcPr>
          <w:p w14:paraId="336C5F62" w14:textId="7472E32C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0.90 </w:t>
            </w:r>
          </w:p>
        </w:tc>
        <w:tc>
          <w:tcPr>
            <w:tcW w:w="624" w:type="pct"/>
            <w:noWrap/>
            <w:hideMark/>
          </w:tcPr>
          <w:p w14:paraId="5F93EEB1" w14:textId="74EF88CE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1 </w:t>
            </w:r>
          </w:p>
        </w:tc>
        <w:tc>
          <w:tcPr>
            <w:tcW w:w="721" w:type="pct"/>
            <w:noWrap/>
            <w:hideMark/>
          </w:tcPr>
          <w:p w14:paraId="4938F011" w14:textId="1A81342E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0.21 </w:t>
            </w:r>
          </w:p>
        </w:tc>
        <w:tc>
          <w:tcPr>
            <w:tcW w:w="1384" w:type="pct"/>
            <w:noWrap/>
            <w:hideMark/>
          </w:tcPr>
          <w:p w14:paraId="285E8801" w14:textId="775EF14B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</w:t>
            </w:r>
            <w:r w:rsidRPr="004170B2">
              <w:rPr>
                <w:sz w:val="14"/>
                <w:szCs w:val="14"/>
              </w:rPr>
              <w:t>México</w:t>
            </w:r>
            <w:r w:rsidRPr="004170B2">
              <w:rPr>
                <w:sz w:val="14"/>
                <w:szCs w:val="14"/>
              </w:rPr>
              <w:t xml:space="preserve"> </w:t>
            </w:r>
          </w:p>
        </w:tc>
      </w:tr>
      <w:tr w:rsidR="004170B2" w:rsidRPr="004170B2" w14:paraId="2B8D46FC" w14:textId="77777777" w:rsidTr="00291B7E">
        <w:trPr>
          <w:trHeight w:val="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pct"/>
            <w:noWrap/>
            <w:vAlign w:val="center"/>
            <w:hideMark/>
          </w:tcPr>
          <w:p w14:paraId="5065F076" w14:textId="125AF81C" w:rsidR="004170B2" w:rsidRPr="004170B2" w:rsidRDefault="00343E38" w:rsidP="004170B2">
            <w:pPr>
              <w:jc w:val="center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343E38"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Predisposición Para Viajar</w:t>
            </w:r>
          </w:p>
        </w:tc>
        <w:tc>
          <w:tcPr>
            <w:tcW w:w="607" w:type="pct"/>
            <w:noWrap/>
            <w:hideMark/>
          </w:tcPr>
          <w:p w14:paraId="71C6B3C2" w14:textId="0E95D1DA" w:rsidR="004170B2" w:rsidRPr="004170B2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0.65 </w:t>
            </w:r>
          </w:p>
        </w:tc>
        <w:tc>
          <w:tcPr>
            <w:tcW w:w="624" w:type="pct"/>
            <w:noWrap/>
            <w:hideMark/>
          </w:tcPr>
          <w:p w14:paraId="6EEB11F5" w14:textId="32928D88" w:rsidR="004170B2" w:rsidRPr="004170B2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6 </w:t>
            </w:r>
          </w:p>
        </w:tc>
        <w:tc>
          <w:tcPr>
            <w:tcW w:w="721" w:type="pct"/>
            <w:noWrap/>
            <w:hideMark/>
          </w:tcPr>
          <w:p w14:paraId="4B1CE734" w14:textId="7C9EE2E1" w:rsidR="004170B2" w:rsidRPr="004170B2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0.61 </w:t>
            </w:r>
          </w:p>
        </w:tc>
        <w:tc>
          <w:tcPr>
            <w:tcW w:w="1384" w:type="pct"/>
            <w:noWrap/>
            <w:hideMark/>
          </w:tcPr>
          <w:p w14:paraId="2EDE91D4" w14:textId="2B211C94" w:rsidR="004170B2" w:rsidRPr="004170B2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Bahamas </w:t>
            </w:r>
          </w:p>
        </w:tc>
      </w:tr>
      <w:tr w:rsidR="004170B2" w:rsidRPr="004170B2" w14:paraId="66C39697" w14:textId="77777777" w:rsidTr="00291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pct"/>
            <w:noWrap/>
            <w:vAlign w:val="center"/>
            <w:hideMark/>
          </w:tcPr>
          <w:p w14:paraId="65E90AA2" w14:textId="77777777" w:rsidR="004170B2" w:rsidRPr="004170B2" w:rsidRDefault="004170B2" w:rsidP="004170B2">
            <w:pPr>
              <w:jc w:val="center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Sostenibilidad</w:t>
            </w:r>
          </w:p>
        </w:tc>
        <w:tc>
          <w:tcPr>
            <w:tcW w:w="607" w:type="pct"/>
            <w:noWrap/>
            <w:hideMark/>
          </w:tcPr>
          <w:p w14:paraId="3849E7EE" w14:textId="57684E78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0.26 </w:t>
            </w:r>
          </w:p>
        </w:tc>
        <w:tc>
          <w:tcPr>
            <w:tcW w:w="624" w:type="pct"/>
            <w:noWrap/>
            <w:hideMark/>
          </w:tcPr>
          <w:p w14:paraId="065371B4" w14:textId="5FBA385A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8 </w:t>
            </w:r>
          </w:p>
        </w:tc>
        <w:tc>
          <w:tcPr>
            <w:tcW w:w="721" w:type="pct"/>
            <w:noWrap/>
            <w:hideMark/>
          </w:tcPr>
          <w:p w14:paraId="4A3DAA81" w14:textId="4DF5568A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0.24 </w:t>
            </w:r>
          </w:p>
        </w:tc>
        <w:tc>
          <w:tcPr>
            <w:tcW w:w="1384" w:type="pct"/>
            <w:noWrap/>
            <w:hideMark/>
          </w:tcPr>
          <w:p w14:paraId="3AC305D5" w14:textId="7A58C317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</w:t>
            </w:r>
            <w:r w:rsidRPr="004170B2">
              <w:rPr>
                <w:sz w:val="14"/>
                <w:szCs w:val="14"/>
              </w:rPr>
              <w:t>Brasil</w:t>
            </w:r>
            <w:r w:rsidRPr="004170B2">
              <w:rPr>
                <w:sz w:val="14"/>
                <w:szCs w:val="14"/>
              </w:rPr>
              <w:t xml:space="preserve"> </w:t>
            </w:r>
          </w:p>
        </w:tc>
      </w:tr>
      <w:tr w:rsidR="004170B2" w:rsidRPr="004170B2" w14:paraId="381294F8" w14:textId="77777777" w:rsidTr="00291B7E">
        <w:trPr>
          <w:trHeight w:val="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pct"/>
            <w:noWrap/>
            <w:vAlign w:val="center"/>
            <w:hideMark/>
          </w:tcPr>
          <w:p w14:paraId="7875135E" w14:textId="086CE438" w:rsidR="004170B2" w:rsidRPr="004170B2" w:rsidRDefault="00343E38" w:rsidP="004170B2">
            <w:pPr>
              <w:jc w:val="center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Apertura Internacional</w:t>
            </w:r>
          </w:p>
        </w:tc>
        <w:tc>
          <w:tcPr>
            <w:tcW w:w="607" w:type="pct"/>
            <w:noWrap/>
            <w:hideMark/>
          </w:tcPr>
          <w:p w14:paraId="3E74E84C" w14:textId="14DB24C0" w:rsidR="004170B2" w:rsidRPr="004170B2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0.58 </w:t>
            </w:r>
          </w:p>
        </w:tc>
        <w:tc>
          <w:tcPr>
            <w:tcW w:w="624" w:type="pct"/>
            <w:noWrap/>
            <w:hideMark/>
          </w:tcPr>
          <w:p w14:paraId="26007BDC" w14:textId="25E265B4" w:rsidR="004170B2" w:rsidRPr="004170B2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8 </w:t>
            </w:r>
          </w:p>
        </w:tc>
        <w:tc>
          <w:tcPr>
            <w:tcW w:w="721" w:type="pct"/>
            <w:noWrap/>
            <w:hideMark/>
          </w:tcPr>
          <w:p w14:paraId="7B9C6F00" w14:textId="1BF02E1F" w:rsidR="004170B2" w:rsidRPr="004170B2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0.54 </w:t>
            </w:r>
          </w:p>
        </w:tc>
        <w:tc>
          <w:tcPr>
            <w:tcW w:w="1384" w:type="pct"/>
            <w:noWrap/>
            <w:hideMark/>
          </w:tcPr>
          <w:p w14:paraId="3B5B492A" w14:textId="2CC5CBB3" w:rsidR="004170B2" w:rsidRPr="004170B2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>
              <w:rPr>
                <w:sz w:val="14"/>
                <w:szCs w:val="14"/>
              </w:rPr>
              <w:t>R. Dominicana</w:t>
            </w:r>
          </w:p>
        </w:tc>
      </w:tr>
      <w:tr w:rsidR="004170B2" w:rsidRPr="004170B2" w14:paraId="05FB4922" w14:textId="77777777" w:rsidTr="00291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pct"/>
            <w:noWrap/>
            <w:vAlign w:val="center"/>
            <w:hideMark/>
          </w:tcPr>
          <w:p w14:paraId="3BE9B739" w14:textId="475662B5" w:rsidR="004170B2" w:rsidRPr="004170B2" w:rsidRDefault="00890AF4" w:rsidP="004170B2">
            <w:pPr>
              <w:jc w:val="center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Cotos Operativos</w:t>
            </w:r>
          </w:p>
        </w:tc>
        <w:tc>
          <w:tcPr>
            <w:tcW w:w="607" w:type="pct"/>
            <w:noWrap/>
            <w:hideMark/>
          </w:tcPr>
          <w:p w14:paraId="1026EA57" w14:textId="3F86F64A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0.64 </w:t>
            </w:r>
          </w:p>
        </w:tc>
        <w:tc>
          <w:tcPr>
            <w:tcW w:w="624" w:type="pct"/>
            <w:noWrap/>
            <w:hideMark/>
          </w:tcPr>
          <w:p w14:paraId="3FF8BCE9" w14:textId="0CAE7C4D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10 </w:t>
            </w:r>
          </w:p>
        </w:tc>
        <w:tc>
          <w:tcPr>
            <w:tcW w:w="721" w:type="pct"/>
            <w:noWrap/>
            <w:hideMark/>
          </w:tcPr>
          <w:p w14:paraId="4473FE0D" w14:textId="5526E23A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0.59 </w:t>
            </w:r>
          </w:p>
        </w:tc>
        <w:tc>
          <w:tcPr>
            <w:tcW w:w="1384" w:type="pct"/>
            <w:noWrap/>
            <w:hideMark/>
          </w:tcPr>
          <w:p w14:paraId="30E61689" w14:textId="536A4A1C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Aruba </w:t>
            </w:r>
          </w:p>
        </w:tc>
      </w:tr>
      <w:tr w:rsidR="004170B2" w:rsidRPr="004170B2" w14:paraId="3EC8F025" w14:textId="77777777" w:rsidTr="00291B7E">
        <w:trPr>
          <w:trHeight w:val="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pct"/>
            <w:noWrap/>
            <w:vAlign w:val="center"/>
            <w:hideMark/>
          </w:tcPr>
          <w:p w14:paraId="14315C25" w14:textId="2DD0D4A2" w:rsidR="004170B2" w:rsidRPr="004170B2" w:rsidRDefault="00890AF4" w:rsidP="004170B2">
            <w:pPr>
              <w:jc w:val="center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Tasas e Impuestos</w:t>
            </w:r>
          </w:p>
        </w:tc>
        <w:tc>
          <w:tcPr>
            <w:tcW w:w="607" w:type="pct"/>
            <w:noWrap/>
            <w:hideMark/>
          </w:tcPr>
          <w:p w14:paraId="44A8B329" w14:textId="242585E3" w:rsidR="004170B2" w:rsidRPr="004170B2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0.87 </w:t>
            </w:r>
          </w:p>
        </w:tc>
        <w:tc>
          <w:tcPr>
            <w:tcW w:w="624" w:type="pct"/>
            <w:noWrap/>
            <w:hideMark/>
          </w:tcPr>
          <w:p w14:paraId="16EDFCD2" w14:textId="3B474839" w:rsidR="004170B2" w:rsidRPr="004170B2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10 </w:t>
            </w:r>
          </w:p>
        </w:tc>
        <w:tc>
          <w:tcPr>
            <w:tcW w:w="721" w:type="pct"/>
            <w:noWrap/>
            <w:hideMark/>
          </w:tcPr>
          <w:p w14:paraId="4308BE5C" w14:textId="7F2707D3" w:rsidR="004170B2" w:rsidRPr="004170B2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0.82 </w:t>
            </w:r>
          </w:p>
        </w:tc>
        <w:tc>
          <w:tcPr>
            <w:tcW w:w="1384" w:type="pct"/>
            <w:noWrap/>
            <w:hideMark/>
          </w:tcPr>
          <w:p w14:paraId="417BA07F" w14:textId="6C431216" w:rsidR="004170B2" w:rsidRPr="004170B2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</w:t>
            </w:r>
            <w:r w:rsidRPr="004170B2">
              <w:rPr>
                <w:sz w:val="14"/>
                <w:szCs w:val="14"/>
              </w:rPr>
              <w:t>Brasil</w:t>
            </w:r>
            <w:r w:rsidRPr="004170B2">
              <w:rPr>
                <w:sz w:val="14"/>
                <w:szCs w:val="14"/>
              </w:rPr>
              <w:t xml:space="preserve"> </w:t>
            </w:r>
          </w:p>
        </w:tc>
      </w:tr>
      <w:tr w:rsidR="004170B2" w:rsidRPr="004170B2" w14:paraId="70A6B4E5" w14:textId="77777777" w:rsidTr="00291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pct"/>
            <w:noWrap/>
            <w:vAlign w:val="center"/>
            <w:hideMark/>
          </w:tcPr>
          <w:p w14:paraId="3DB18446" w14:textId="5D5E60C4" w:rsidR="004170B2" w:rsidRPr="004170B2" w:rsidRDefault="00890AF4" w:rsidP="004170B2">
            <w:pPr>
              <w:jc w:val="center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Calidad de Infraestructura</w:t>
            </w:r>
          </w:p>
        </w:tc>
        <w:tc>
          <w:tcPr>
            <w:tcW w:w="607" w:type="pct"/>
            <w:noWrap/>
            <w:hideMark/>
          </w:tcPr>
          <w:p w14:paraId="5E2C3A2F" w14:textId="233A0D4C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0.56 </w:t>
            </w:r>
          </w:p>
        </w:tc>
        <w:tc>
          <w:tcPr>
            <w:tcW w:w="624" w:type="pct"/>
            <w:noWrap/>
            <w:hideMark/>
          </w:tcPr>
          <w:p w14:paraId="61C10539" w14:textId="41A91CA6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15 </w:t>
            </w:r>
          </w:p>
        </w:tc>
        <w:tc>
          <w:tcPr>
            <w:tcW w:w="721" w:type="pct"/>
            <w:noWrap/>
            <w:hideMark/>
          </w:tcPr>
          <w:p w14:paraId="44F247FA" w14:textId="5E6B38E0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0.65 </w:t>
            </w:r>
          </w:p>
        </w:tc>
        <w:tc>
          <w:tcPr>
            <w:tcW w:w="1384" w:type="pct"/>
            <w:noWrap/>
            <w:hideMark/>
          </w:tcPr>
          <w:p w14:paraId="1DC02DB8" w14:textId="0EE3ADD3" w:rsidR="004170B2" w:rsidRPr="004170B2" w:rsidRDefault="004170B2" w:rsidP="004170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4170B2">
              <w:rPr>
                <w:sz w:val="14"/>
                <w:szCs w:val="14"/>
              </w:rPr>
              <w:t xml:space="preserve"> </w:t>
            </w:r>
            <w:r w:rsidRPr="004170B2">
              <w:rPr>
                <w:sz w:val="14"/>
                <w:szCs w:val="14"/>
              </w:rPr>
              <w:t>Panamá</w:t>
            </w:r>
            <w:r w:rsidRPr="004170B2">
              <w:rPr>
                <w:sz w:val="14"/>
                <w:szCs w:val="14"/>
              </w:rPr>
              <w:t xml:space="preserve"> </w:t>
            </w:r>
          </w:p>
        </w:tc>
      </w:tr>
      <w:tr w:rsidR="004170B2" w:rsidRPr="004170B2" w14:paraId="2FBF127A" w14:textId="77777777" w:rsidTr="00291B7E">
        <w:trPr>
          <w:trHeight w:val="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pct"/>
            <w:noWrap/>
            <w:vAlign w:val="center"/>
          </w:tcPr>
          <w:p w14:paraId="4676B937" w14:textId="77777777" w:rsidR="004170B2" w:rsidRPr="009C35C3" w:rsidRDefault="004170B2" w:rsidP="004170B2">
            <w:pPr>
              <w:jc w:val="center"/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9C35C3">
              <w:rPr>
                <w:rFonts w:eastAsia="Times New Roman" w:cstheme="minorHAns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Total</w:t>
            </w:r>
          </w:p>
        </w:tc>
        <w:tc>
          <w:tcPr>
            <w:tcW w:w="607" w:type="pct"/>
            <w:noWrap/>
          </w:tcPr>
          <w:p w14:paraId="53AC4EEB" w14:textId="5AB90B11" w:rsidR="004170B2" w:rsidRPr="009C35C3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9C35C3">
              <w:rPr>
                <w:b/>
                <w:bCs/>
                <w:sz w:val="14"/>
                <w:szCs w:val="14"/>
              </w:rPr>
              <w:t xml:space="preserve"> 6.20 </w:t>
            </w:r>
          </w:p>
        </w:tc>
        <w:tc>
          <w:tcPr>
            <w:tcW w:w="624" w:type="pct"/>
            <w:noWrap/>
          </w:tcPr>
          <w:p w14:paraId="145C6258" w14:textId="46999778" w:rsidR="004170B2" w:rsidRPr="009C35C3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9C35C3">
              <w:rPr>
                <w:b/>
                <w:bCs/>
                <w:sz w:val="14"/>
                <w:szCs w:val="14"/>
              </w:rPr>
              <w:t xml:space="preserve"> 4 </w:t>
            </w:r>
          </w:p>
        </w:tc>
        <w:tc>
          <w:tcPr>
            <w:tcW w:w="721" w:type="pct"/>
            <w:noWrap/>
          </w:tcPr>
          <w:p w14:paraId="37357CB2" w14:textId="05B39BFB" w:rsidR="004170B2" w:rsidRPr="009C35C3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9C35C3">
              <w:rPr>
                <w:b/>
                <w:bCs/>
                <w:sz w:val="14"/>
                <w:szCs w:val="14"/>
              </w:rPr>
              <w:t xml:space="preserve"> 5.38 </w:t>
            </w:r>
          </w:p>
        </w:tc>
        <w:tc>
          <w:tcPr>
            <w:tcW w:w="1384" w:type="pct"/>
            <w:noWrap/>
          </w:tcPr>
          <w:p w14:paraId="19FD9162" w14:textId="4C5F684D" w:rsidR="004170B2" w:rsidRPr="009C35C3" w:rsidRDefault="004170B2" w:rsidP="004170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9C35C3">
              <w:rPr>
                <w:b/>
                <w:bCs/>
                <w:sz w:val="14"/>
                <w:szCs w:val="14"/>
              </w:rPr>
              <w:t xml:space="preserve"> </w:t>
            </w:r>
            <w:r w:rsidRPr="009C35C3">
              <w:rPr>
                <w:b/>
                <w:bCs/>
                <w:sz w:val="14"/>
                <w:szCs w:val="14"/>
              </w:rPr>
              <w:t>Panamá</w:t>
            </w:r>
            <w:r w:rsidRPr="009C35C3">
              <w:rPr>
                <w:b/>
                <w:bCs/>
                <w:sz w:val="14"/>
                <w:szCs w:val="14"/>
              </w:rPr>
              <w:t xml:space="preserve"> </w:t>
            </w:r>
          </w:p>
        </w:tc>
      </w:tr>
    </w:tbl>
    <w:p w14:paraId="386EC484" w14:textId="57A93186" w:rsidR="00030256" w:rsidRDefault="0069453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EB2B719" wp14:editId="7664A9EF">
                <wp:simplePos x="0" y="0"/>
                <wp:positionH relativeFrom="margin">
                  <wp:posOffset>-133350</wp:posOffset>
                </wp:positionH>
                <wp:positionV relativeFrom="paragraph">
                  <wp:posOffset>3879850</wp:posOffset>
                </wp:positionV>
                <wp:extent cx="6369050" cy="952500"/>
                <wp:effectExtent l="0" t="0" r="0" b="0"/>
                <wp:wrapNone/>
                <wp:docPr id="14115941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905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A9812" w14:textId="140012EA" w:rsidR="006254C1" w:rsidRDefault="006254C1" w:rsidP="006254C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4C1">
                              <w:rPr>
                                <w:sz w:val="20"/>
                                <w:szCs w:val="20"/>
                              </w:rPr>
                              <w:t xml:space="preserve">A pesar de estas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noticias positivas, es importante que el país siga trabajando de la mano con la industria en áreas potenciales de mejora. Por ejemplo,</w:t>
                            </w:r>
                            <w:r w:rsidR="009A1CA2">
                              <w:rPr>
                                <w:sz w:val="20"/>
                                <w:szCs w:val="20"/>
                              </w:rPr>
                              <w:t xml:space="preserve"> la infraestructura de transporte aéreo en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A1CA2">
                              <w:rPr>
                                <w:sz w:val="20"/>
                                <w:szCs w:val="20"/>
                              </w:rPr>
                              <w:t>México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sigue</w:t>
                            </w:r>
                            <w:r w:rsidR="009A1CA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94539">
                              <w:rPr>
                                <w:sz w:val="20"/>
                                <w:szCs w:val="20"/>
                              </w:rPr>
                              <w:t>presentados problemas</w:t>
                            </w:r>
                            <w:r w:rsidR="009A1CA2">
                              <w:rPr>
                                <w:sz w:val="20"/>
                                <w:szCs w:val="20"/>
                              </w:rPr>
                              <w:t xml:space="preserve"> particularmente en el AICM.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94539">
                              <w:rPr>
                                <w:sz w:val="20"/>
                                <w:szCs w:val="20"/>
                              </w:rPr>
                              <w:t>De igual manera,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es </w:t>
                            </w:r>
                            <w:r w:rsidR="00694539">
                              <w:rPr>
                                <w:sz w:val="20"/>
                                <w:szCs w:val="20"/>
                              </w:rPr>
                              <w:t>un país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costoso en </w:t>
                            </w:r>
                            <w:r w:rsidR="00694539">
                              <w:rPr>
                                <w:sz w:val="20"/>
                                <w:szCs w:val="20"/>
                              </w:rPr>
                              <w:t xml:space="preserve">los que se refiere a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costos aeroportuarios </w:t>
                            </w:r>
                            <w:r w:rsidR="00694539">
                              <w:rPr>
                                <w:sz w:val="20"/>
                                <w:szCs w:val="20"/>
                              </w:rPr>
                              <w:t xml:space="preserve">y tasas e impuestos a los boletos,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como se muestra en la</w:t>
                            </w:r>
                            <w:r w:rsidR="00694539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gráfica</w:t>
                            </w:r>
                            <w:r w:rsidR="00694539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a continuación.</w:t>
                            </w:r>
                          </w:p>
                          <w:p w14:paraId="443FC787" w14:textId="77777777" w:rsidR="006254C1" w:rsidRPr="006254C1" w:rsidRDefault="006254C1" w:rsidP="006254C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B2B71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5pt;margin-top:305.5pt;width:501.5pt;height: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" stroked="f">
                <v:textbox>
                  <w:txbxContent>
                    <w:p w14:paraId="357A9812" w14:textId="140012EA" w:rsidR="006254C1" w:rsidRDefault="006254C1" w:rsidP="006254C1">
                      <w:pPr>
                        <w:rPr>
                          <w:sz w:val="20"/>
                          <w:szCs w:val="20"/>
                        </w:rPr>
                      </w:pPr>
                      <w:r w:rsidRPr="006254C1">
                        <w:rPr>
                          <w:sz w:val="20"/>
                          <w:szCs w:val="20"/>
                        </w:rPr>
                        <w:t xml:space="preserve">A pesar de estas </w:t>
                      </w:r>
                      <w:r>
                        <w:rPr>
                          <w:sz w:val="20"/>
                          <w:szCs w:val="20"/>
                        </w:rPr>
                        <w:t>noticias positivas, es importante que el país siga trabajando de la mano con la industria en áreas potenciales de mejora. Por ejemplo,</w:t>
                      </w:r>
                      <w:r w:rsidR="009A1CA2">
                        <w:rPr>
                          <w:sz w:val="20"/>
                          <w:szCs w:val="20"/>
                        </w:rPr>
                        <w:t xml:space="preserve"> la infraestructura de transporte aéreo en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A1CA2">
                        <w:rPr>
                          <w:sz w:val="20"/>
                          <w:szCs w:val="20"/>
                        </w:rPr>
                        <w:t>México</w:t>
                      </w:r>
                      <w:r>
                        <w:rPr>
                          <w:sz w:val="20"/>
                          <w:szCs w:val="20"/>
                        </w:rPr>
                        <w:t xml:space="preserve"> sigue</w:t>
                      </w:r>
                      <w:r w:rsidR="009A1CA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694539">
                        <w:rPr>
                          <w:sz w:val="20"/>
                          <w:szCs w:val="20"/>
                        </w:rPr>
                        <w:t>presentados problemas</w:t>
                      </w:r>
                      <w:r w:rsidR="009A1CA2">
                        <w:rPr>
                          <w:sz w:val="20"/>
                          <w:szCs w:val="20"/>
                        </w:rPr>
                        <w:t xml:space="preserve"> particularmente en el AICM. 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694539">
                        <w:rPr>
                          <w:sz w:val="20"/>
                          <w:szCs w:val="20"/>
                        </w:rPr>
                        <w:t>De igual manera,</w:t>
                      </w:r>
                      <w:r>
                        <w:rPr>
                          <w:sz w:val="20"/>
                          <w:szCs w:val="20"/>
                        </w:rPr>
                        <w:t xml:space="preserve"> es </w:t>
                      </w:r>
                      <w:r w:rsidR="00694539">
                        <w:rPr>
                          <w:sz w:val="20"/>
                          <w:szCs w:val="20"/>
                        </w:rPr>
                        <w:t>un país</w:t>
                      </w:r>
                      <w:r>
                        <w:rPr>
                          <w:sz w:val="20"/>
                          <w:szCs w:val="20"/>
                        </w:rPr>
                        <w:t xml:space="preserve"> costoso en </w:t>
                      </w:r>
                      <w:r w:rsidR="00694539">
                        <w:rPr>
                          <w:sz w:val="20"/>
                          <w:szCs w:val="20"/>
                        </w:rPr>
                        <w:t xml:space="preserve">los que se refiere a </w:t>
                      </w:r>
                      <w:r>
                        <w:rPr>
                          <w:sz w:val="20"/>
                          <w:szCs w:val="20"/>
                        </w:rPr>
                        <w:t xml:space="preserve">costos aeroportuarios </w:t>
                      </w:r>
                      <w:r w:rsidR="00694539">
                        <w:rPr>
                          <w:sz w:val="20"/>
                          <w:szCs w:val="20"/>
                        </w:rPr>
                        <w:t xml:space="preserve">y tasas e impuestos a los boletos, </w:t>
                      </w:r>
                      <w:r>
                        <w:rPr>
                          <w:sz w:val="20"/>
                          <w:szCs w:val="20"/>
                        </w:rPr>
                        <w:t>como se muestra en la</w:t>
                      </w:r>
                      <w:r w:rsidR="00694539">
                        <w:rPr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sz w:val="20"/>
                          <w:szCs w:val="20"/>
                        </w:rPr>
                        <w:t xml:space="preserve"> gráfica</w:t>
                      </w:r>
                      <w:r w:rsidR="00694539">
                        <w:rPr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sz w:val="20"/>
                          <w:szCs w:val="20"/>
                        </w:rPr>
                        <w:t xml:space="preserve"> a continuación.</w:t>
                      </w:r>
                    </w:p>
                    <w:p w14:paraId="443FC787" w14:textId="77777777" w:rsidR="006254C1" w:rsidRPr="006254C1" w:rsidRDefault="006254C1" w:rsidP="006254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76005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2A85214" wp14:editId="5CD8FA55">
                <wp:simplePos x="0" y="0"/>
                <wp:positionH relativeFrom="column">
                  <wp:posOffset>3943350</wp:posOffset>
                </wp:positionH>
                <wp:positionV relativeFrom="paragraph">
                  <wp:posOffset>-393700</wp:posOffset>
                </wp:positionV>
                <wp:extent cx="2360930" cy="2870200"/>
                <wp:effectExtent l="0" t="0" r="381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7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CA248" w14:textId="73291BE6" w:rsidR="00674919" w:rsidRPr="006254C1" w:rsidRDefault="0071238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México</w:t>
                            </w:r>
                            <w:r w:rsidR="00674919" w:rsidRPr="006254C1">
                              <w:rPr>
                                <w:sz w:val="20"/>
                                <w:szCs w:val="20"/>
                              </w:rPr>
                              <w:t xml:space="preserve"> ocupa el puesto </w:t>
                            </w:r>
                            <w:r w:rsidR="00E41685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674919" w:rsidRPr="006254C1">
                              <w:rPr>
                                <w:sz w:val="20"/>
                                <w:szCs w:val="20"/>
                              </w:rPr>
                              <w:t xml:space="preserve"> entre los 20 mercados analizados en el Índice de Competitividad de ALTA-Amadeus 2023.</w:t>
                            </w:r>
                          </w:p>
                          <w:p w14:paraId="4D05068D" w14:textId="68133A38" w:rsidR="00674919" w:rsidRPr="006254C1" w:rsidRDefault="0067491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4C1">
                              <w:rPr>
                                <w:sz w:val="20"/>
                                <w:szCs w:val="20"/>
                              </w:rPr>
                              <w:t xml:space="preserve">Se destaca </w:t>
                            </w:r>
                            <w:r w:rsidR="003A38B4">
                              <w:rPr>
                                <w:sz w:val="20"/>
                                <w:szCs w:val="20"/>
                              </w:rPr>
                              <w:t xml:space="preserve">que es el país mejor conectado de la </w:t>
                            </w:r>
                            <w:r w:rsidR="00BB5469">
                              <w:rPr>
                                <w:sz w:val="20"/>
                                <w:szCs w:val="20"/>
                              </w:rPr>
                              <w:t>región</w:t>
                            </w:r>
                            <w:r w:rsidRPr="006254C1">
                              <w:rPr>
                                <w:sz w:val="20"/>
                                <w:szCs w:val="20"/>
                              </w:rPr>
                              <w:t xml:space="preserve"> donde ocupa el </w:t>
                            </w:r>
                            <w:r w:rsidR="00BB5469">
                              <w:rPr>
                                <w:sz w:val="20"/>
                                <w:szCs w:val="20"/>
                              </w:rPr>
                              <w:t>1er</w:t>
                            </w:r>
                            <w:r w:rsidRPr="006254C1">
                              <w:rPr>
                                <w:sz w:val="20"/>
                                <w:szCs w:val="20"/>
                              </w:rPr>
                              <w:t xml:space="preserve"> lugar y también en </w:t>
                            </w:r>
                            <w:r w:rsidR="00DA3578">
                              <w:rPr>
                                <w:sz w:val="20"/>
                                <w:szCs w:val="20"/>
                              </w:rPr>
                              <w:t>Predisposición para viajes y turismo</w:t>
                            </w:r>
                            <w:r w:rsidRPr="006254C1">
                              <w:rPr>
                                <w:sz w:val="20"/>
                                <w:szCs w:val="20"/>
                              </w:rPr>
                              <w:t xml:space="preserve"> donde ocupa</w:t>
                            </w:r>
                            <w:r w:rsidR="006254C1" w:rsidRPr="006254C1">
                              <w:rPr>
                                <w:sz w:val="20"/>
                                <w:szCs w:val="20"/>
                              </w:rPr>
                              <w:t xml:space="preserve"> el </w:t>
                            </w:r>
                            <w:r w:rsidR="00DA3578"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="006254C1" w:rsidRPr="006254C1">
                              <w:rPr>
                                <w:sz w:val="20"/>
                                <w:szCs w:val="20"/>
                              </w:rPr>
                              <w:t>º lugar.</w:t>
                            </w:r>
                          </w:p>
                          <w:p w14:paraId="621A0679" w14:textId="28C6DC17" w:rsidR="006254C1" w:rsidRPr="006254C1" w:rsidRDefault="006254C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4C1">
                              <w:rPr>
                                <w:sz w:val="20"/>
                                <w:szCs w:val="20"/>
                              </w:rPr>
                              <w:t xml:space="preserve">Es importante resaltar la </w:t>
                            </w:r>
                            <w:r w:rsidR="007B2660">
                              <w:rPr>
                                <w:sz w:val="20"/>
                                <w:szCs w:val="20"/>
                              </w:rPr>
                              <w:t>recuperación de la CAT 1 de la FAA lo que permitirá a las aerolíneas mexicanas crecer en el mercado USA-MEX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2ECEA7C6" w14:textId="77777777" w:rsidR="006254C1" w:rsidRPr="006254C1" w:rsidRDefault="006254C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85214" id="_x0000_s1027" type="#_x0000_t202" style="position:absolute;margin-left:310.5pt;margin-top:-31pt;width:185.9pt;height:226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" stroked="f">
                <v:textbox>
                  <w:txbxContent>
                    <w:p w14:paraId="2C3CA248" w14:textId="73291BE6" w:rsidR="00674919" w:rsidRPr="006254C1" w:rsidRDefault="0071238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México</w:t>
                      </w:r>
                      <w:r w:rsidR="00674919" w:rsidRPr="006254C1">
                        <w:rPr>
                          <w:sz w:val="20"/>
                          <w:szCs w:val="20"/>
                        </w:rPr>
                        <w:t xml:space="preserve"> ocupa el puesto </w:t>
                      </w:r>
                      <w:r w:rsidR="00E41685">
                        <w:rPr>
                          <w:sz w:val="20"/>
                          <w:szCs w:val="20"/>
                        </w:rPr>
                        <w:t>4</w:t>
                      </w:r>
                      <w:r w:rsidR="00674919" w:rsidRPr="006254C1">
                        <w:rPr>
                          <w:sz w:val="20"/>
                          <w:szCs w:val="20"/>
                        </w:rPr>
                        <w:t xml:space="preserve"> entre los 20 mercados analizados en el Índice de Competitividad de ALTA-Amadeus 2023.</w:t>
                      </w:r>
                    </w:p>
                    <w:p w14:paraId="4D05068D" w14:textId="68133A38" w:rsidR="00674919" w:rsidRPr="006254C1" w:rsidRDefault="00674919">
                      <w:pPr>
                        <w:rPr>
                          <w:sz w:val="20"/>
                          <w:szCs w:val="20"/>
                        </w:rPr>
                      </w:pPr>
                      <w:r w:rsidRPr="006254C1">
                        <w:rPr>
                          <w:sz w:val="20"/>
                          <w:szCs w:val="20"/>
                        </w:rPr>
                        <w:t xml:space="preserve">Se destaca </w:t>
                      </w:r>
                      <w:r w:rsidR="003A38B4">
                        <w:rPr>
                          <w:sz w:val="20"/>
                          <w:szCs w:val="20"/>
                        </w:rPr>
                        <w:t xml:space="preserve">que es el país mejor conectado de la </w:t>
                      </w:r>
                      <w:r w:rsidR="00BB5469">
                        <w:rPr>
                          <w:sz w:val="20"/>
                          <w:szCs w:val="20"/>
                        </w:rPr>
                        <w:t>región</w:t>
                      </w:r>
                      <w:r w:rsidRPr="006254C1">
                        <w:rPr>
                          <w:sz w:val="20"/>
                          <w:szCs w:val="20"/>
                        </w:rPr>
                        <w:t xml:space="preserve"> donde ocupa el </w:t>
                      </w:r>
                      <w:r w:rsidR="00BB5469">
                        <w:rPr>
                          <w:sz w:val="20"/>
                          <w:szCs w:val="20"/>
                        </w:rPr>
                        <w:t>1er</w:t>
                      </w:r>
                      <w:r w:rsidRPr="006254C1">
                        <w:rPr>
                          <w:sz w:val="20"/>
                          <w:szCs w:val="20"/>
                        </w:rPr>
                        <w:t xml:space="preserve"> lugar y también en </w:t>
                      </w:r>
                      <w:r w:rsidR="00DA3578">
                        <w:rPr>
                          <w:sz w:val="20"/>
                          <w:szCs w:val="20"/>
                        </w:rPr>
                        <w:t>Predisposición para viajes y turismo</w:t>
                      </w:r>
                      <w:r w:rsidRPr="006254C1">
                        <w:rPr>
                          <w:sz w:val="20"/>
                          <w:szCs w:val="20"/>
                        </w:rPr>
                        <w:t xml:space="preserve"> donde ocupa</w:t>
                      </w:r>
                      <w:r w:rsidR="006254C1" w:rsidRPr="006254C1">
                        <w:rPr>
                          <w:sz w:val="20"/>
                          <w:szCs w:val="20"/>
                        </w:rPr>
                        <w:t xml:space="preserve"> el </w:t>
                      </w:r>
                      <w:r w:rsidR="00DA3578">
                        <w:rPr>
                          <w:sz w:val="20"/>
                          <w:szCs w:val="20"/>
                        </w:rPr>
                        <w:t>6</w:t>
                      </w:r>
                      <w:r w:rsidR="006254C1" w:rsidRPr="006254C1">
                        <w:rPr>
                          <w:sz w:val="20"/>
                          <w:szCs w:val="20"/>
                        </w:rPr>
                        <w:t>º lugar.</w:t>
                      </w:r>
                    </w:p>
                    <w:p w14:paraId="621A0679" w14:textId="28C6DC17" w:rsidR="006254C1" w:rsidRPr="006254C1" w:rsidRDefault="006254C1">
                      <w:pPr>
                        <w:rPr>
                          <w:sz w:val="20"/>
                          <w:szCs w:val="20"/>
                        </w:rPr>
                      </w:pPr>
                      <w:r w:rsidRPr="006254C1">
                        <w:rPr>
                          <w:sz w:val="20"/>
                          <w:szCs w:val="20"/>
                        </w:rPr>
                        <w:t xml:space="preserve">Es importante resaltar la </w:t>
                      </w:r>
                      <w:r w:rsidR="007B2660">
                        <w:rPr>
                          <w:sz w:val="20"/>
                          <w:szCs w:val="20"/>
                        </w:rPr>
                        <w:t>recuperación de la CAT 1 de la FAA lo que permitirá a las aerolíneas mexicanas crecer en el mercado USA-MEX</w:t>
                      </w:r>
                      <w:r>
                        <w:rPr>
                          <w:sz w:val="20"/>
                          <w:szCs w:val="20"/>
                        </w:rPr>
                        <w:t xml:space="preserve">. </w:t>
                      </w:r>
                    </w:p>
                    <w:p w14:paraId="2ECEA7C6" w14:textId="77777777" w:rsidR="006254C1" w:rsidRPr="006254C1" w:rsidRDefault="006254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54C1">
        <w:rPr>
          <w:noProof/>
        </w:rPr>
        <w:drawing>
          <wp:anchor distT="0" distB="0" distL="114300" distR="114300" simplePos="0" relativeHeight="251664384" behindDoc="0" locked="0" layoutInCell="1" allowOverlap="1" wp14:anchorId="1036DB39" wp14:editId="43A3BABE">
            <wp:simplePos x="0" y="0"/>
            <wp:positionH relativeFrom="margin">
              <wp:align>right</wp:align>
            </wp:positionH>
            <wp:positionV relativeFrom="paragraph">
              <wp:posOffset>4648200</wp:posOffset>
            </wp:positionV>
            <wp:extent cx="5994400" cy="3200400"/>
            <wp:effectExtent l="0" t="0" r="6350" b="0"/>
            <wp:wrapNone/>
            <wp:docPr id="198423198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margin">
              <wp14:pctWidth>0</wp14:pctWidth>
            </wp14:sizeRelH>
          </wp:anchor>
        </w:drawing>
      </w:r>
      <w:r w:rsidR="00924677">
        <w:rPr>
          <w:noProof/>
        </w:rPr>
        <w:t xml:space="preserve"> </w:t>
      </w:r>
      <w:r w:rsidR="001E4CF0">
        <w:rPr>
          <w:noProof/>
        </w:rPr>
        <w:drawing>
          <wp:anchor distT="0" distB="0" distL="114300" distR="114300" simplePos="0" relativeHeight="251659264" behindDoc="0" locked="0" layoutInCell="1" allowOverlap="1" wp14:anchorId="629CC4A8" wp14:editId="5CDE36B1">
            <wp:simplePos x="0" y="0"/>
            <wp:positionH relativeFrom="margin">
              <wp:posOffset>-603250</wp:posOffset>
            </wp:positionH>
            <wp:positionV relativeFrom="paragraph">
              <wp:posOffset>-577850</wp:posOffset>
            </wp:positionV>
            <wp:extent cx="4203700" cy="2952750"/>
            <wp:effectExtent l="0" t="0" r="0" b="0"/>
            <wp:wrapNone/>
            <wp:docPr id="2069797741" name="Gráfico 20697977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  <w:r w:rsidR="00376005">
        <w:rPr>
          <w:noProof/>
        </w:rPr>
        <w:tab/>
      </w:r>
    </w:p>
    <w:p w14:paraId="6C88835B" w14:textId="1414CF8A" w:rsidR="00F7415C" w:rsidRDefault="0073356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15AA418" wp14:editId="1A87B89E">
                <wp:simplePos x="0" y="0"/>
                <wp:positionH relativeFrom="margin">
                  <wp:posOffset>3383280</wp:posOffset>
                </wp:positionH>
                <wp:positionV relativeFrom="paragraph">
                  <wp:posOffset>0</wp:posOffset>
                </wp:positionV>
                <wp:extent cx="3037398" cy="1950720"/>
                <wp:effectExtent l="0" t="0" r="0" b="0"/>
                <wp:wrapNone/>
                <wp:docPr id="14749540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398" cy="195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D2A47" w14:textId="4283139E" w:rsidR="00733565" w:rsidRDefault="00116E7F" w:rsidP="007335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El mercado aéreo en </w:t>
                            </w:r>
                            <w:r w:rsidR="00CD2901">
                              <w:rPr>
                                <w:sz w:val="20"/>
                                <w:szCs w:val="20"/>
                              </w:rPr>
                              <w:t>México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es tan dinámico, que el </w:t>
                            </w:r>
                            <w:r w:rsidR="00CD2901">
                              <w:rPr>
                                <w:sz w:val="20"/>
                                <w:szCs w:val="20"/>
                              </w:rPr>
                              <w:t>país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fue de los pocos que durante el 2022</w:t>
                            </w:r>
                            <w:r w:rsidR="004849BF">
                              <w:rPr>
                                <w:sz w:val="20"/>
                                <w:szCs w:val="20"/>
                              </w:rPr>
                              <w:t xml:space="preserve"> supero sus niveles </w:t>
                            </w:r>
                            <w:r w:rsidR="00CD2901">
                              <w:rPr>
                                <w:sz w:val="20"/>
                                <w:szCs w:val="20"/>
                              </w:rPr>
                              <w:t>prepandemia</w:t>
                            </w:r>
                            <w:r w:rsidR="004849BF">
                              <w:rPr>
                                <w:sz w:val="20"/>
                                <w:szCs w:val="20"/>
                              </w:rPr>
                              <w:t xml:space="preserve"> y en 2023 va a superar sus </w:t>
                            </w:r>
                            <w:r w:rsidR="00CD2901">
                              <w:rPr>
                                <w:sz w:val="20"/>
                                <w:szCs w:val="20"/>
                              </w:rPr>
                              <w:t>niveles de 2019 en aproximadamente 15%.</w:t>
                            </w:r>
                            <w:r w:rsidR="00CD71A8">
                              <w:rPr>
                                <w:sz w:val="20"/>
                                <w:szCs w:val="20"/>
                              </w:rPr>
                              <w:t xml:space="preserve"> El trafico en México se ha duplicado en los últimos 15 años. </w:t>
                            </w:r>
                          </w:p>
                          <w:p w14:paraId="27907FDD" w14:textId="7C95F88D" w:rsidR="00733565" w:rsidRDefault="0087638B" w:rsidP="007335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 acuerdo con</w:t>
                            </w:r>
                            <w:r w:rsidR="00733565">
                              <w:rPr>
                                <w:sz w:val="20"/>
                                <w:szCs w:val="20"/>
                              </w:rPr>
                              <w:t xml:space="preserve"> los pronósticos de ALTA, en 2023 se van a operar en </w:t>
                            </w:r>
                            <w:r w:rsidR="00323933">
                              <w:rPr>
                                <w:sz w:val="20"/>
                                <w:szCs w:val="20"/>
                              </w:rPr>
                              <w:t>México</w:t>
                            </w:r>
                            <w:r w:rsidR="0073356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52663">
                              <w:rPr>
                                <w:sz w:val="20"/>
                                <w:szCs w:val="20"/>
                              </w:rPr>
                              <w:t xml:space="preserve">458,000 </w:t>
                            </w:r>
                            <w:r w:rsidR="00F7415C">
                              <w:rPr>
                                <w:sz w:val="20"/>
                                <w:szCs w:val="20"/>
                              </w:rPr>
                              <w:t>vuelos domésticos (</w:t>
                            </w:r>
                            <w:r w:rsidR="00323933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F7415C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323933"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="00F7415C">
                              <w:rPr>
                                <w:sz w:val="20"/>
                                <w:szCs w:val="20"/>
                              </w:rPr>
                              <w:t xml:space="preserve">%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</w:t>
                            </w:r>
                            <w:r w:rsidR="00323933">
                              <w:rPr>
                                <w:sz w:val="20"/>
                                <w:szCs w:val="20"/>
                              </w:rPr>
                              <w:t>enos</w:t>
                            </w:r>
                            <w:r w:rsidR="00F7415C">
                              <w:rPr>
                                <w:sz w:val="20"/>
                                <w:szCs w:val="20"/>
                              </w:rPr>
                              <w:t xml:space="preserve"> respecto a 2019) y 3</w:t>
                            </w:r>
                            <w:r w:rsidR="00323933">
                              <w:rPr>
                                <w:sz w:val="20"/>
                                <w:szCs w:val="20"/>
                              </w:rPr>
                              <w:t>92</w:t>
                            </w:r>
                            <w:r w:rsidR="00F7415C">
                              <w:rPr>
                                <w:sz w:val="20"/>
                                <w:szCs w:val="20"/>
                              </w:rPr>
                              <w:t>,000 internacionales (</w:t>
                            </w:r>
                            <w:r w:rsidR="00323933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F7415C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323933">
                              <w:rPr>
                                <w:sz w:val="20"/>
                                <w:szCs w:val="20"/>
                              </w:rPr>
                              <w:t>8</w:t>
                            </w:r>
                            <w:r w:rsidR="00F7415C">
                              <w:rPr>
                                <w:sz w:val="20"/>
                                <w:szCs w:val="20"/>
                              </w:rPr>
                              <w:t xml:space="preserve">% </w:t>
                            </w:r>
                            <w:r w:rsidR="00323933">
                              <w:rPr>
                                <w:sz w:val="20"/>
                                <w:szCs w:val="20"/>
                              </w:rPr>
                              <w:t>más</w:t>
                            </w:r>
                            <w:r w:rsidR="00F7415C">
                              <w:rPr>
                                <w:sz w:val="20"/>
                                <w:szCs w:val="20"/>
                              </w:rPr>
                              <w:t xml:space="preserve"> respecto a 2019)</w:t>
                            </w:r>
                          </w:p>
                          <w:p w14:paraId="0CECF52A" w14:textId="77777777" w:rsidR="00733565" w:rsidRPr="00733565" w:rsidRDefault="00733565" w:rsidP="007335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AA418" id="_x0000_s1028" type="#_x0000_t202" style="position:absolute;margin-left:266.4pt;margin-top:0;width:239.15pt;height:153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" stroked="f">
                <v:textbox>
                  <w:txbxContent>
                    <w:p w14:paraId="344D2A47" w14:textId="4283139E" w:rsidR="00733565" w:rsidRDefault="00116E7F" w:rsidP="0073356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El mercado aéreo en </w:t>
                      </w:r>
                      <w:r w:rsidR="00CD2901">
                        <w:rPr>
                          <w:sz w:val="20"/>
                          <w:szCs w:val="20"/>
                        </w:rPr>
                        <w:t>México</w:t>
                      </w:r>
                      <w:r>
                        <w:rPr>
                          <w:sz w:val="20"/>
                          <w:szCs w:val="20"/>
                        </w:rPr>
                        <w:t xml:space="preserve"> es tan dinámico, que el </w:t>
                      </w:r>
                      <w:r w:rsidR="00CD2901">
                        <w:rPr>
                          <w:sz w:val="20"/>
                          <w:szCs w:val="20"/>
                        </w:rPr>
                        <w:t>país</w:t>
                      </w:r>
                      <w:r>
                        <w:rPr>
                          <w:sz w:val="20"/>
                          <w:szCs w:val="20"/>
                        </w:rPr>
                        <w:t xml:space="preserve"> fue de los pocos que durante el 2022</w:t>
                      </w:r>
                      <w:r w:rsidR="004849BF">
                        <w:rPr>
                          <w:sz w:val="20"/>
                          <w:szCs w:val="20"/>
                        </w:rPr>
                        <w:t xml:space="preserve"> supero sus niveles </w:t>
                      </w:r>
                      <w:r w:rsidR="00CD2901">
                        <w:rPr>
                          <w:sz w:val="20"/>
                          <w:szCs w:val="20"/>
                        </w:rPr>
                        <w:t>prepandemia</w:t>
                      </w:r>
                      <w:r w:rsidR="004849BF">
                        <w:rPr>
                          <w:sz w:val="20"/>
                          <w:szCs w:val="20"/>
                        </w:rPr>
                        <w:t xml:space="preserve"> y en 2023 va a superar sus </w:t>
                      </w:r>
                      <w:r w:rsidR="00CD2901">
                        <w:rPr>
                          <w:sz w:val="20"/>
                          <w:szCs w:val="20"/>
                        </w:rPr>
                        <w:t>niveles de 2019 en aproximadamente 15%.</w:t>
                      </w:r>
                      <w:r w:rsidR="00CD71A8">
                        <w:rPr>
                          <w:sz w:val="20"/>
                          <w:szCs w:val="20"/>
                        </w:rPr>
                        <w:t xml:space="preserve"> El trafico en México se ha duplicado en los últimos 15 años. </w:t>
                      </w:r>
                    </w:p>
                    <w:p w14:paraId="27907FDD" w14:textId="7C95F88D" w:rsidR="00733565" w:rsidRDefault="0087638B" w:rsidP="0073356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 acuerdo con</w:t>
                      </w:r>
                      <w:r w:rsidR="00733565">
                        <w:rPr>
                          <w:sz w:val="20"/>
                          <w:szCs w:val="20"/>
                        </w:rPr>
                        <w:t xml:space="preserve"> los pronósticos de ALTA, en 2023 se van a operar en </w:t>
                      </w:r>
                      <w:r w:rsidR="00323933">
                        <w:rPr>
                          <w:sz w:val="20"/>
                          <w:szCs w:val="20"/>
                        </w:rPr>
                        <w:t>México</w:t>
                      </w:r>
                      <w:r w:rsidR="00733565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252663">
                        <w:rPr>
                          <w:sz w:val="20"/>
                          <w:szCs w:val="20"/>
                        </w:rPr>
                        <w:t xml:space="preserve">458,000 </w:t>
                      </w:r>
                      <w:r w:rsidR="00F7415C">
                        <w:rPr>
                          <w:sz w:val="20"/>
                          <w:szCs w:val="20"/>
                        </w:rPr>
                        <w:t>vuelos domésticos (</w:t>
                      </w:r>
                      <w:r w:rsidR="00323933">
                        <w:rPr>
                          <w:sz w:val="20"/>
                          <w:szCs w:val="20"/>
                        </w:rPr>
                        <w:t>2</w:t>
                      </w:r>
                      <w:r w:rsidR="00F7415C">
                        <w:rPr>
                          <w:sz w:val="20"/>
                          <w:szCs w:val="20"/>
                        </w:rPr>
                        <w:t>.</w:t>
                      </w:r>
                      <w:r w:rsidR="00323933">
                        <w:rPr>
                          <w:sz w:val="20"/>
                          <w:szCs w:val="20"/>
                        </w:rPr>
                        <w:t>6</w:t>
                      </w:r>
                      <w:r w:rsidR="00F7415C">
                        <w:rPr>
                          <w:sz w:val="20"/>
                          <w:szCs w:val="20"/>
                        </w:rPr>
                        <w:t xml:space="preserve">% </w:t>
                      </w:r>
                      <w:r>
                        <w:rPr>
                          <w:sz w:val="20"/>
                          <w:szCs w:val="20"/>
                        </w:rPr>
                        <w:t>m</w:t>
                      </w:r>
                      <w:r w:rsidR="00323933">
                        <w:rPr>
                          <w:sz w:val="20"/>
                          <w:szCs w:val="20"/>
                        </w:rPr>
                        <w:t>enos</w:t>
                      </w:r>
                      <w:r w:rsidR="00F7415C">
                        <w:rPr>
                          <w:sz w:val="20"/>
                          <w:szCs w:val="20"/>
                        </w:rPr>
                        <w:t xml:space="preserve"> respecto a 2019) y 3</w:t>
                      </w:r>
                      <w:r w:rsidR="00323933">
                        <w:rPr>
                          <w:sz w:val="20"/>
                          <w:szCs w:val="20"/>
                        </w:rPr>
                        <w:t>92</w:t>
                      </w:r>
                      <w:r w:rsidR="00F7415C">
                        <w:rPr>
                          <w:sz w:val="20"/>
                          <w:szCs w:val="20"/>
                        </w:rPr>
                        <w:t>,000 internacionales (</w:t>
                      </w:r>
                      <w:r w:rsidR="00323933">
                        <w:rPr>
                          <w:sz w:val="20"/>
                          <w:szCs w:val="20"/>
                        </w:rPr>
                        <w:t>5</w:t>
                      </w:r>
                      <w:r w:rsidR="00F7415C">
                        <w:rPr>
                          <w:sz w:val="20"/>
                          <w:szCs w:val="20"/>
                        </w:rPr>
                        <w:t>.</w:t>
                      </w:r>
                      <w:r w:rsidR="00323933">
                        <w:rPr>
                          <w:sz w:val="20"/>
                          <w:szCs w:val="20"/>
                        </w:rPr>
                        <w:t>8</w:t>
                      </w:r>
                      <w:r w:rsidR="00F7415C">
                        <w:rPr>
                          <w:sz w:val="20"/>
                          <w:szCs w:val="20"/>
                        </w:rPr>
                        <w:t xml:space="preserve">% </w:t>
                      </w:r>
                      <w:r w:rsidR="00323933">
                        <w:rPr>
                          <w:sz w:val="20"/>
                          <w:szCs w:val="20"/>
                        </w:rPr>
                        <w:t>más</w:t>
                      </w:r>
                      <w:r w:rsidR="00F7415C">
                        <w:rPr>
                          <w:sz w:val="20"/>
                          <w:szCs w:val="20"/>
                        </w:rPr>
                        <w:t xml:space="preserve"> respecto a 2019)</w:t>
                      </w:r>
                    </w:p>
                    <w:p w14:paraId="0CECF52A" w14:textId="77777777" w:rsidR="00733565" w:rsidRPr="00733565" w:rsidRDefault="00733565" w:rsidP="0073356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76005">
        <w:rPr>
          <w:noProof/>
        </w:rPr>
        <w:drawing>
          <wp:anchor distT="0" distB="0" distL="114300" distR="114300" simplePos="0" relativeHeight="251666432" behindDoc="0" locked="0" layoutInCell="1" allowOverlap="1" wp14:anchorId="01F2BD35" wp14:editId="7065D10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191933" cy="2099310"/>
            <wp:effectExtent l="0" t="0" r="8890" b="0"/>
            <wp:wrapNone/>
            <wp:docPr id="1522242007" name="Gráfico 152224200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margin">
              <wp14:pctWidth>0</wp14:pctWidth>
            </wp14:sizeRelH>
          </wp:anchor>
        </w:drawing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  <w:r w:rsidR="00F7415C">
        <w:tab/>
      </w:r>
    </w:p>
    <w:p w14:paraId="218BF42A" w14:textId="7BADCA6D" w:rsidR="00F7415C" w:rsidRDefault="00F7415C">
      <w:r>
        <w:rPr>
          <w:noProof/>
        </w:rPr>
        <w:drawing>
          <wp:anchor distT="0" distB="0" distL="114300" distR="114300" simplePos="0" relativeHeight="251669504" behindDoc="0" locked="0" layoutInCell="1" allowOverlap="1" wp14:anchorId="6BE0A68A" wp14:editId="657D9C46">
            <wp:simplePos x="0" y="0"/>
            <wp:positionH relativeFrom="margin">
              <wp:align>left</wp:align>
            </wp:positionH>
            <wp:positionV relativeFrom="paragraph">
              <wp:posOffset>284535</wp:posOffset>
            </wp:positionV>
            <wp:extent cx="3275937" cy="3200400"/>
            <wp:effectExtent l="0" t="0" r="1270" b="0"/>
            <wp:wrapNone/>
            <wp:docPr id="1488103440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</wp:anchor>
        </w:drawing>
      </w:r>
    </w:p>
    <w:p w14:paraId="63AD76EB" w14:textId="602D5ABE" w:rsidR="00376005" w:rsidRDefault="00590B60">
      <w:r>
        <w:rPr>
          <w:noProof/>
        </w:rPr>
        <w:drawing>
          <wp:anchor distT="0" distB="0" distL="114300" distR="114300" simplePos="0" relativeHeight="251673600" behindDoc="0" locked="0" layoutInCell="1" allowOverlap="1" wp14:anchorId="32238549" wp14:editId="0BB7FD3C">
            <wp:simplePos x="0" y="0"/>
            <wp:positionH relativeFrom="margin">
              <wp:posOffset>-143123</wp:posOffset>
            </wp:positionH>
            <wp:positionV relativeFrom="paragraph">
              <wp:posOffset>3290625</wp:posOffset>
            </wp:positionV>
            <wp:extent cx="3252083" cy="3200400"/>
            <wp:effectExtent l="0" t="0" r="5715" b="0"/>
            <wp:wrapNone/>
            <wp:docPr id="261237881" name="Chart 26123788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42EA9CA8" wp14:editId="616C4DD7">
            <wp:simplePos x="0" y="0"/>
            <wp:positionH relativeFrom="margin">
              <wp:posOffset>3173509</wp:posOffset>
            </wp:positionH>
            <wp:positionV relativeFrom="paragraph">
              <wp:posOffset>3307798</wp:posOffset>
            </wp:positionV>
            <wp:extent cx="3601941" cy="3200400"/>
            <wp:effectExtent l="0" t="0" r="0" b="0"/>
            <wp:wrapNone/>
            <wp:docPr id="34139312" name="Chart 341393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98F4BD7" wp14:editId="05820610">
                <wp:simplePos x="0" y="0"/>
                <wp:positionH relativeFrom="margin">
                  <wp:posOffset>3490291</wp:posOffset>
                </wp:positionH>
                <wp:positionV relativeFrom="paragraph">
                  <wp:posOffset>1008269</wp:posOffset>
                </wp:positionV>
                <wp:extent cx="3037398" cy="993913"/>
                <wp:effectExtent l="0" t="0" r="0" b="0"/>
                <wp:wrapNone/>
                <wp:docPr id="3185485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398" cy="993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3A004" w14:textId="471EBAEB" w:rsidR="00590B60" w:rsidRPr="00590B60" w:rsidRDefault="00590B60" w:rsidP="00590B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0B60">
                              <w:rPr>
                                <w:sz w:val="20"/>
                                <w:szCs w:val="20"/>
                              </w:rPr>
                              <w:t>En cuanto a conectividad internacional,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respecto a 2019 en </w:t>
                            </w:r>
                            <w:r w:rsidR="00E039CD">
                              <w:rPr>
                                <w:sz w:val="20"/>
                                <w:szCs w:val="20"/>
                              </w:rPr>
                              <w:t>México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se han abierto </w:t>
                            </w:r>
                            <w:r w:rsidR="00E039CD">
                              <w:rPr>
                                <w:sz w:val="20"/>
                                <w:szCs w:val="20"/>
                              </w:rPr>
                              <w:t>72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nuevas rutas, </w:t>
                            </w:r>
                            <w:r w:rsidR="00E039CD">
                              <w:rPr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se han descontinuado </w:t>
                            </w:r>
                            <w:r w:rsidR="00E039CD">
                              <w:rPr>
                                <w:sz w:val="20"/>
                                <w:szCs w:val="20"/>
                              </w:rPr>
                              <w:t>58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. La </w:t>
                            </w:r>
                            <w:r w:rsidR="00E039CD">
                              <w:rPr>
                                <w:sz w:val="20"/>
                                <w:szCs w:val="20"/>
                              </w:rPr>
                              <w:t>más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importante que se ha descontinuado es </w:t>
                            </w:r>
                            <w:r w:rsidR="008E29A4">
                              <w:rPr>
                                <w:sz w:val="20"/>
                                <w:szCs w:val="20"/>
                              </w:rPr>
                              <w:t>México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8E29A4">
                              <w:rPr>
                                <w:sz w:val="20"/>
                                <w:szCs w:val="20"/>
                              </w:rPr>
                              <w:t>Fort Lauderdale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, que </w:t>
                            </w:r>
                            <w:r w:rsidR="008E29A4">
                              <w:rPr>
                                <w:sz w:val="20"/>
                                <w:szCs w:val="20"/>
                              </w:rPr>
                              <w:t>tenía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E29A4">
                              <w:rPr>
                                <w:sz w:val="20"/>
                                <w:szCs w:val="20"/>
                              </w:rPr>
                              <w:t>más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E29A4">
                              <w:rPr>
                                <w:sz w:val="20"/>
                                <w:szCs w:val="20"/>
                              </w:rPr>
                              <w:t>1,</w:t>
                            </w:r>
                            <w:r w:rsidR="0071386B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="008E29A4">
                              <w:rPr>
                                <w:sz w:val="20"/>
                                <w:szCs w:val="20"/>
                              </w:rPr>
                              <w:t>00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vuelos en 2019.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F4BD7" id="_x0000_s1029" type="#_x0000_t202" style="position:absolute;margin-left:274.85pt;margin-top:79.4pt;width:239.15pt;height:78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" stroked="f">
                <v:textbox>
                  <w:txbxContent>
                    <w:p w14:paraId="6583A004" w14:textId="471EBAEB" w:rsidR="00590B60" w:rsidRPr="00590B60" w:rsidRDefault="00590B60" w:rsidP="00590B60">
                      <w:pPr>
                        <w:rPr>
                          <w:sz w:val="20"/>
                          <w:szCs w:val="20"/>
                        </w:rPr>
                      </w:pPr>
                      <w:r w:rsidRPr="00590B60">
                        <w:rPr>
                          <w:sz w:val="20"/>
                          <w:szCs w:val="20"/>
                        </w:rPr>
                        <w:t>En cuanto a conectividad internacional,</w:t>
                      </w:r>
                      <w:r>
                        <w:rPr>
                          <w:sz w:val="20"/>
                          <w:szCs w:val="20"/>
                        </w:rPr>
                        <w:t xml:space="preserve"> respecto a 2019 en </w:t>
                      </w:r>
                      <w:r w:rsidR="00E039CD">
                        <w:rPr>
                          <w:sz w:val="20"/>
                          <w:szCs w:val="20"/>
                        </w:rPr>
                        <w:t>México</w:t>
                      </w:r>
                      <w:r>
                        <w:rPr>
                          <w:sz w:val="20"/>
                          <w:szCs w:val="20"/>
                        </w:rPr>
                        <w:t xml:space="preserve"> se han abierto </w:t>
                      </w:r>
                      <w:r w:rsidR="00E039CD">
                        <w:rPr>
                          <w:sz w:val="20"/>
                          <w:szCs w:val="20"/>
                        </w:rPr>
                        <w:t>72</w:t>
                      </w:r>
                      <w:r>
                        <w:rPr>
                          <w:sz w:val="20"/>
                          <w:szCs w:val="20"/>
                        </w:rPr>
                        <w:t xml:space="preserve"> nuevas rutas, </w:t>
                      </w:r>
                      <w:r w:rsidR="00E039CD">
                        <w:rPr>
                          <w:sz w:val="20"/>
                          <w:szCs w:val="20"/>
                        </w:rPr>
                        <w:t>y</w:t>
                      </w:r>
                      <w:r>
                        <w:rPr>
                          <w:sz w:val="20"/>
                          <w:szCs w:val="20"/>
                        </w:rPr>
                        <w:t xml:space="preserve"> se han descontinuado </w:t>
                      </w:r>
                      <w:r w:rsidR="00E039CD">
                        <w:rPr>
                          <w:sz w:val="20"/>
                          <w:szCs w:val="20"/>
                        </w:rPr>
                        <w:t>58</w:t>
                      </w:r>
                      <w:r>
                        <w:rPr>
                          <w:sz w:val="20"/>
                          <w:szCs w:val="20"/>
                        </w:rPr>
                        <w:t xml:space="preserve">. La </w:t>
                      </w:r>
                      <w:r w:rsidR="00E039CD">
                        <w:rPr>
                          <w:sz w:val="20"/>
                          <w:szCs w:val="20"/>
                        </w:rPr>
                        <w:t>más</w:t>
                      </w:r>
                      <w:r>
                        <w:rPr>
                          <w:sz w:val="20"/>
                          <w:szCs w:val="20"/>
                        </w:rPr>
                        <w:t xml:space="preserve"> importante que se ha descontinuado es </w:t>
                      </w:r>
                      <w:r w:rsidR="008E29A4">
                        <w:rPr>
                          <w:sz w:val="20"/>
                          <w:szCs w:val="20"/>
                        </w:rPr>
                        <w:t>México</w:t>
                      </w:r>
                      <w:r>
                        <w:rPr>
                          <w:sz w:val="20"/>
                          <w:szCs w:val="20"/>
                        </w:rPr>
                        <w:t>-</w:t>
                      </w:r>
                      <w:r w:rsidR="008E29A4">
                        <w:rPr>
                          <w:sz w:val="20"/>
                          <w:szCs w:val="20"/>
                        </w:rPr>
                        <w:t>Fort Lauderdale</w:t>
                      </w:r>
                      <w:r>
                        <w:rPr>
                          <w:sz w:val="20"/>
                          <w:szCs w:val="20"/>
                        </w:rPr>
                        <w:t xml:space="preserve">, que </w:t>
                      </w:r>
                      <w:r w:rsidR="008E29A4">
                        <w:rPr>
                          <w:sz w:val="20"/>
                          <w:szCs w:val="20"/>
                        </w:rPr>
                        <w:t>tenía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E29A4">
                        <w:rPr>
                          <w:sz w:val="20"/>
                          <w:szCs w:val="20"/>
                        </w:rPr>
                        <w:t>más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E29A4">
                        <w:rPr>
                          <w:sz w:val="20"/>
                          <w:szCs w:val="20"/>
                        </w:rPr>
                        <w:t>1,</w:t>
                      </w:r>
                      <w:r w:rsidR="0071386B">
                        <w:rPr>
                          <w:sz w:val="20"/>
                          <w:szCs w:val="20"/>
                        </w:rPr>
                        <w:t>1</w:t>
                      </w:r>
                      <w:r w:rsidR="008E29A4">
                        <w:rPr>
                          <w:sz w:val="20"/>
                          <w:szCs w:val="20"/>
                        </w:rPr>
                        <w:t>00</w:t>
                      </w:r>
                      <w:r>
                        <w:rPr>
                          <w:sz w:val="20"/>
                          <w:szCs w:val="20"/>
                        </w:rPr>
                        <w:t xml:space="preserve"> vuelos en 2019.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415C">
        <w:tab/>
      </w:r>
    </w:p>
    <w:p w14:paraId="6AB6E6C1" w14:textId="77777777" w:rsidR="00335846" w:rsidRDefault="00335846"/>
    <w:p w14:paraId="7FFF9612" w14:textId="77777777" w:rsidR="00335846" w:rsidRDefault="00335846"/>
    <w:p w14:paraId="61B9237D" w14:textId="77777777" w:rsidR="00335846" w:rsidRDefault="00335846"/>
    <w:p w14:paraId="30AC6DB3" w14:textId="77777777" w:rsidR="00335846" w:rsidRDefault="00335846"/>
    <w:p w14:paraId="33A97F6F" w14:textId="77777777" w:rsidR="00335846" w:rsidRDefault="00335846"/>
    <w:p w14:paraId="45CA254E" w14:textId="77777777" w:rsidR="00335846" w:rsidRDefault="00335846"/>
    <w:p w14:paraId="3BB29CD2" w14:textId="77777777" w:rsidR="00335846" w:rsidRDefault="00335846"/>
    <w:p w14:paraId="2FB17ECC" w14:textId="77777777" w:rsidR="00335846" w:rsidRDefault="00335846"/>
    <w:p w14:paraId="6A074B46" w14:textId="77777777" w:rsidR="00335846" w:rsidRDefault="00335846"/>
    <w:p w14:paraId="05E169B3" w14:textId="77777777" w:rsidR="00335846" w:rsidRDefault="00335846"/>
    <w:p w14:paraId="3783F2A8" w14:textId="77777777" w:rsidR="00335846" w:rsidRDefault="00335846"/>
    <w:p w14:paraId="27261ABA" w14:textId="77777777" w:rsidR="00335846" w:rsidRDefault="00335846"/>
    <w:p w14:paraId="440D9FC5" w14:textId="77777777" w:rsidR="00335846" w:rsidRDefault="00335846"/>
    <w:p w14:paraId="637BACC2" w14:textId="77777777" w:rsidR="00335846" w:rsidRDefault="00335846"/>
    <w:p w14:paraId="750C4812" w14:textId="77777777" w:rsidR="00335846" w:rsidRDefault="00335846"/>
    <w:p w14:paraId="73C50063" w14:textId="77777777" w:rsidR="00335846" w:rsidRDefault="00335846"/>
    <w:p w14:paraId="6DA97578" w14:textId="77777777" w:rsidR="00335846" w:rsidRDefault="00335846"/>
    <w:p w14:paraId="0B033F23" w14:textId="77777777" w:rsidR="00335846" w:rsidRDefault="00335846"/>
    <w:p w14:paraId="29CD855C" w14:textId="77777777" w:rsidR="00335846" w:rsidRDefault="00335846"/>
    <w:p w14:paraId="2720B88B" w14:textId="77777777" w:rsidR="00A5634C" w:rsidRDefault="00A5634C"/>
    <w:p w14:paraId="3815C20C" w14:textId="552DF0E1" w:rsidR="00335846" w:rsidRDefault="00B911F8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 wp14:anchorId="712B2436" wp14:editId="22FBBCAD">
            <wp:simplePos x="0" y="0"/>
            <wp:positionH relativeFrom="margin">
              <wp:align>left</wp:align>
            </wp:positionH>
            <wp:positionV relativeFrom="paragraph">
              <wp:posOffset>281940</wp:posOffset>
            </wp:positionV>
            <wp:extent cx="3444240" cy="3200400"/>
            <wp:effectExtent l="0" t="0" r="3810" b="0"/>
            <wp:wrapNone/>
            <wp:docPr id="506412819" name="Chart 5064128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t>Categoria 2 FAA</w:t>
      </w:r>
    </w:p>
    <w:p w14:paraId="0204F9EB" w14:textId="0CD65FC0" w:rsidR="00B911F8" w:rsidRDefault="007F0612">
      <w:r>
        <w:rPr>
          <w:noProof/>
        </w:rPr>
        <w:drawing>
          <wp:anchor distT="0" distB="0" distL="114300" distR="114300" simplePos="0" relativeHeight="251681792" behindDoc="0" locked="0" layoutInCell="1" allowOverlap="1" wp14:anchorId="1724025F" wp14:editId="35444220">
            <wp:simplePos x="0" y="0"/>
            <wp:positionH relativeFrom="margin">
              <wp:align>right</wp:align>
            </wp:positionH>
            <wp:positionV relativeFrom="paragraph">
              <wp:posOffset>3630930</wp:posOffset>
            </wp:positionV>
            <wp:extent cx="5981700" cy="3200400"/>
            <wp:effectExtent l="0" t="0" r="0" b="0"/>
            <wp:wrapNone/>
            <wp:docPr id="1705070329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</wp:anchor>
        </w:drawing>
      </w:r>
      <w:r w:rsidR="00AB520E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BC3088E" wp14:editId="5F2ED0D8">
                <wp:simplePos x="0" y="0"/>
                <wp:positionH relativeFrom="margin">
                  <wp:posOffset>3832860</wp:posOffset>
                </wp:positionH>
                <wp:positionV relativeFrom="paragraph">
                  <wp:posOffset>41910</wp:posOffset>
                </wp:positionV>
                <wp:extent cx="2776855" cy="2979420"/>
                <wp:effectExtent l="0" t="0" r="4445" b="0"/>
                <wp:wrapNone/>
                <wp:docPr id="1361122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6855" cy="297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B3B3C" w14:textId="29F1FCA4" w:rsidR="00335846" w:rsidRDefault="00A5634C" w:rsidP="0033584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La degradación de categoría 1 a categoría 2 </w:t>
                            </w:r>
                            <w:r w:rsidR="00EC4523">
                              <w:rPr>
                                <w:sz w:val="20"/>
                                <w:szCs w:val="20"/>
                              </w:rPr>
                              <w:t xml:space="preserve">impuesta por la </w:t>
                            </w:r>
                            <w:r w:rsidR="00B96430">
                              <w:rPr>
                                <w:sz w:val="20"/>
                                <w:szCs w:val="20"/>
                              </w:rPr>
                              <w:t>FAA</w:t>
                            </w:r>
                            <w:r w:rsidR="00542B8B">
                              <w:rPr>
                                <w:sz w:val="20"/>
                                <w:szCs w:val="20"/>
                              </w:rPr>
                              <w:t xml:space="preserve"> en </w:t>
                            </w:r>
                            <w:r w:rsidR="00071AE2">
                              <w:rPr>
                                <w:sz w:val="20"/>
                                <w:szCs w:val="20"/>
                              </w:rPr>
                              <w:t>mayo</w:t>
                            </w:r>
                            <w:r w:rsidR="00542B8B">
                              <w:rPr>
                                <w:sz w:val="20"/>
                                <w:szCs w:val="20"/>
                              </w:rPr>
                              <w:t xml:space="preserve"> de 2021</w:t>
                            </w:r>
                            <w:r w:rsidR="00B9643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96430" w:rsidRPr="00EC4523">
                              <w:rPr>
                                <w:sz w:val="20"/>
                                <w:szCs w:val="20"/>
                              </w:rPr>
                              <w:t>luego</w:t>
                            </w:r>
                            <w:r w:rsidR="00EC4523" w:rsidRPr="00EC4523">
                              <w:rPr>
                                <w:sz w:val="20"/>
                                <w:szCs w:val="20"/>
                              </w:rPr>
                              <w:t xml:space="preserve"> de haber señalado 28 deficiencias en elementos críticos en la seguridad aérea </w:t>
                            </w:r>
                            <w:r w:rsidR="00EC4523">
                              <w:rPr>
                                <w:sz w:val="20"/>
                                <w:szCs w:val="20"/>
                              </w:rPr>
                              <w:t xml:space="preserve">del país </w:t>
                            </w:r>
                            <w:r w:rsidR="00B93597">
                              <w:rPr>
                                <w:sz w:val="20"/>
                                <w:szCs w:val="20"/>
                              </w:rPr>
                              <w:t>impidió</w:t>
                            </w:r>
                            <w:r w:rsidR="00EC4523">
                              <w:rPr>
                                <w:sz w:val="20"/>
                                <w:szCs w:val="20"/>
                              </w:rPr>
                              <w:t xml:space="preserve"> a las aerolíneas </w:t>
                            </w:r>
                            <w:r w:rsidR="00B93597">
                              <w:rPr>
                                <w:sz w:val="20"/>
                                <w:szCs w:val="20"/>
                              </w:rPr>
                              <w:t xml:space="preserve">mexicanas </w:t>
                            </w:r>
                            <w:r w:rsidR="00EC4523">
                              <w:rPr>
                                <w:sz w:val="20"/>
                                <w:szCs w:val="20"/>
                              </w:rPr>
                              <w:t xml:space="preserve">aprovechar </w:t>
                            </w:r>
                            <w:r w:rsidR="00B93597">
                              <w:rPr>
                                <w:sz w:val="20"/>
                                <w:szCs w:val="20"/>
                              </w:rPr>
                              <w:t xml:space="preserve">el crecimiento </w:t>
                            </w:r>
                            <w:r w:rsidR="00B96430">
                              <w:rPr>
                                <w:sz w:val="20"/>
                                <w:szCs w:val="20"/>
                              </w:rPr>
                              <w:t>del mercado con USA</w:t>
                            </w:r>
                            <w:r w:rsidR="00EC4523" w:rsidRPr="00EC4523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518C20E" w14:textId="380B2C8A" w:rsidR="008712EC" w:rsidRDefault="008712EC" w:rsidP="0033584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B094A7D" w14:textId="6BC0825D" w:rsidR="00A8337B" w:rsidRPr="00590B60" w:rsidRDefault="00062F0A" w:rsidP="0033584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Entre </w:t>
                            </w:r>
                            <w:r w:rsidR="00411FF9">
                              <w:rPr>
                                <w:sz w:val="20"/>
                                <w:szCs w:val="20"/>
                              </w:rPr>
                              <w:t>mayo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2021</w:t>
                            </w:r>
                            <w:r w:rsidR="00665E53">
                              <w:rPr>
                                <w:sz w:val="20"/>
                                <w:szCs w:val="20"/>
                              </w:rPr>
                              <w:t xml:space="preserve"> y 2023 (años durante los cuales</w:t>
                            </w:r>
                            <w:r w:rsidR="00542B8B">
                              <w:rPr>
                                <w:sz w:val="20"/>
                                <w:szCs w:val="20"/>
                              </w:rPr>
                              <w:t xml:space="preserve"> las aerolíneas mexicanas </w:t>
                            </w:r>
                            <w:r w:rsidR="00071AE2">
                              <w:rPr>
                                <w:sz w:val="20"/>
                                <w:szCs w:val="20"/>
                              </w:rPr>
                              <w:t>no pudieron incrementar frecuencias ni abrir nuevas rutas hacia USA)</w:t>
                            </w:r>
                            <w:r w:rsidR="008126C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74167E">
                              <w:rPr>
                                <w:sz w:val="20"/>
                                <w:szCs w:val="20"/>
                              </w:rPr>
                              <w:t>el me</w:t>
                            </w:r>
                            <w:r w:rsidR="00411FF9">
                              <w:rPr>
                                <w:sz w:val="20"/>
                                <w:szCs w:val="20"/>
                              </w:rPr>
                              <w:t xml:space="preserve">rcado México-USA se incremento en un 12% y únicamente las aerolíneas de USA pudieron sacar provecho </w:t>
                            </w:r>
                            <w:r w:rsidR="00AB520E">
                              <w:rPr>
                                <w:sz w:val="20"/>
                                <w:szCs w:val="20"/>
                              </w:rPr>
                              <w:t xml:space="preserve">de ese incremento. </w:t>
                            </w:r>
                            <w:r w:rsidR="00436474">
                              <w:rPr>
                                <w:sz w:val="20"/>
                                <w:szCs w:val="20"/>
                              </w:rPr>
                              <w:t xml:space="preserve">Actualmente, en el marcado MX-US las aerolíneas de USA tienen la mayor participación.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3088E" id="_x0000_s1030" type="#_x0000_t202" style="position:absolute;margin-left:301.8pt;margin-top:3.3pt;width:218.65pt;height:234.6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" stroked="f">
                <v:textbox>
                  <w:txbxContent>
                    <w:p w14:paraId="05BB3B3C" w14:textId="29F1FCA4" w:rsidR="00335846" w:rsidRDefault="00A5634C" w:rsidP="0033584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La degradación de categoría 1 a categoría 2 </w:t>
                      </w:r>
                      <w:r w:rsidR="00EC4523">
                        <w:rPr>
                          <w:sz w:val="20"/>
                          <w:szCs w:val="20"/>
                        </w:rPr>
                        <w:t xml:space="preserve">impuesta por la </w:t>
                      </w:r>
                      <w:r w:rsidR="00B96430">
                        <w:rPr>
                          <w:sz w:val="20"/>
                          <w:szCs w:val="20"/>
                        </w:rPr>
                        <w:t>FAA</w:t>
                      </w:r>
                      <w:r w:rsidR="00542B8B">
                        <w:rPr>
                          <w:sz w:val="20"/>
                          <w:szCs w:val="20"/>
                        </w:rPr>
                        <w:t xml:space="preserve"> en </w:t>
                      </w:r>
                      <w:r w:rsidR="00071AE2">
                        <w:rPr>
                          <w:sz w:val="20"/>
                          <w:szCs w:val="20"/>
                        </w:rPr>
                        <w:t>mayo</w:t>
                      </w:r>
                      <w:r w:rsidR="00542B8B">
                        <w:rPr>
                          <w:sz w:val="20"/>
                          <w:szCs w:val="20"/>
                        </w:rPr>
                        <w:t xml:space="preserve"> de 2021</w:t>
                      </w:r>
                      <w:r w:rsidR="00B9643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96430" w:rsidRPr="00EC4523">
                        <w:rPr>
                          <w:sz w:val="20"/>
                          <w:szCs w:val="20"/>
                        </w:rPr>
                        <w:t>luego</w:t>
                      </w:r>
                      <w:r w:rsidR="00EC4523" w:rsidRPr="00EC4523">
                        <w:rPr>
                          <w:sz w:val="20"/>
                          <w:szCs w:val="20"/>
                        </w:rPr>
                        <w:t xml:space="preserve"> de haber señalado 28 deficiencias en elementos críticos en la seguridad aérea </w:t>
                      </w:r>
                      <w:r w:rsidR="00EC4523">
                        <w:rPr>
                          <w:sz w:val="20"/>
                          <w:szCs w:val="20"/>
                        </w:rPr>
                        <w:t xml:space="preserve">del país </w:t>
                      </w:r>
                      <w:r w:rsidR="00B93597">
                        <w:rPr>
                          <w:sz w:val="20"/>
                          <w:szCs w:val="20"/>
                        </w:rPr>
                        <w:t>impidió</w:t>
                      </w:r>
                      <w:r w:rsidR="00EC4523">
                        <w:rPr>
                          <w:sz w:val="20"/>
                          <w:szCs w:val="20"/>
                        </w:rPr>
                        <w:t xml:space="preserve"> a las aerolíneas </w:t>
                      </w:r>
                      <w:r w:rsidR="00B93597">
                        <w:rPr>
                          <w:sz w:val="20"/>
                          <w:szCs w:val="20"/>
                        </w:rPr>
                        <w:t xml:space="preserve">mexicanas </w:t>
                      </w:r>
                      <w:r w:rsidR="00EC4523">
                        <w:rPr>
                          <w:sz w:val="20"/>
                          <w:szCs w:val="20"/>
                        </w:rPr>
                        <w:t xml:space="preserve">aprovechar </w:t>
                      </w:r>
                      <w:r w:rsidR="00B93597">
                        <w:rPr>
                          <w:sz w:val="20"/>
                          <w:szCs w:val="20"/>
                        </w:rPr>
                        <w:t xml:space="preserve">el crecimiento </w:t>
                      </w:r>
                      <w:r w:rsidR="00B96430">
                        <w:rPr>
                          <w:sz w:val="20"/>
                          <w:szCs w:val="20"/>
                        </w:rPr>
                        <w:t>del mercado con USA</w:t>
                      </w:r>
                      <w:r w:rsidR="00EC4523" w:rsidRPr="00EC4523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1518C20E" w14:textId="380B2C8A" w:rsidR="008712EC" w:rsidRDefault="008712EC" w:rsidP="00335846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B094A7D" w14:textId="6BC0825D" w:rsidR="00A8337B" w:rsidRPr="00590B60" w:rsidRDefault="00062F0A" w:rsidP="0033584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Entre </w:t>
                      </w:r>
                      <w:r w:rsidR="00411FF9">
                        <w:rPr>
                          <w:sz w:val="20"/>
                          <w:szCs w:val="20"/>
                        </w:rPr>
                        <w:t>mayo</w:t>
                      </w:r>
                      <w:r>
                        <w:rPr>
                          <w:sz w:val="20"/>
                          <w:szCs w:val="20"/>
                        </w:rPr>
                        <w:t xml:space="preserve"> 2021</w:t>
                      </w:r>
                      <w:r w:rsidR="00665E53">
                        <w:rPr>
                          <w:sz w:val="20"/>
                          <w:szCs w:val="20"/>
                        </w:rPr>
                        <w:t xml:space="preserve"> y 2023 (años durante los cuales</w:t>
                      </w:r>
                      <w:r w:rsidR="00542B8B">
                        <w:rPr>
                          <w:sz w:val="20"/>
                          <w:szCs w:val="20"/>
                        </w:rPr>
                        <w:t xml:space="preserve"> las aerolíneas mexicanas </w:t>
                      </w:r>
                      <w:r w:rsidR="00071AE2">
                        <w:rPr>
                          <w:sz w:val="20"/>
                          <w:szCs w:val="20"/>
                        </w:rPr>
                        <w:t>no pudieron incrementar frecuencias ni abrir nuevas rutas hacia USA)</w:t>
                      </w:r>
                      <w:r w:rsidR="008126CF"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="0074167E">
                        <w:rPr>
                          <w:sz w:val="20"/>
                          <w:szCs w:val="20"/>
                        </w:rPr>
                        <w:t>el me</w:t>
                      </w:r>
                      <w:r w:rsidR="00411FF9">
                        <w:rPr>
                          <w:sz w:val="20"/>
                          <w:szCs w:val="20"/>
                        </w:rPr>
                        <w:t xml:space="preserve">rcado México-USA se incremento en un 12% y únicamente las aerolíneas de USA pudieron sacar provecho </w:t>
                      </w:r>
                      <w:r w:rsidR="00AB520E">
                        <w:rPr>
                          <w:sz w:val="20"/>
                          <w:szCs w:val="20"/>
                        </w:rPr>
                        <w:t xml:space="preserve">de ese incremento. </w:t>
                      </w:r>
                      <w:r w:rsidR="00436474">
                        <w:rPr>
                          <w:sz w:val="20"/>
                          <w:szCs w:val="20"/>
                        </w:rPr>
                        <w:t xml:space="preserve">Actualmente, en el marcado MX-US las aerolíneas de USA tienen la mayor participación.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911F8" w:rsidSect="004D6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CF0"/>
    <w:rsid w:val="00030256"/>
    <w:rsid w:val="00062F0A"/>
    <w:rsid w:val="00071AE2"/>
    <w:rsid w:val="000A2629"/>
    <w:rsid w:val="00116E7F"/>
    <w:rsid w:val="0017116E"/>
    <w:rsid w:val="00177B76"/>
    <w:rsid w:val="001E4CF0"/>
    <w:rsid w:val="00230A14"/>
    <w:rsid w:val="00252663"/>
    <w:rsid w:val="002666BB"/>
    <w:rsid w:val="002F4914"/>
    <w:rsid w:val="00323933"/>
    <w:rsid w:val="00335846"/>
    <w:rsid w:val="00343E38"/>
    <w:rsid w:val="00347B6B"/>
    <w:rsid w:val="00376005"/>
    <w:rsid w:val="0037746F"/>
    <w:rsid w:val="003A38B4"/>
    <w:rsid w:val="00411FF9"/>
    <w:rsid w:val="004170B2"/>
    <w:rsid w:val="00436474"/>
    <w:rsid w:val="004849BF"/>
    <w:rsid w:val="004D6CBA"/>
    <w:rsid w:val="00542B8B"/>
    <w:rsid w:val="005828A5"/>
    <w:rsid w:val="00590B60"/>
    <w:rsid w:val="005E50D9"/>
    <w:rsid w:val="006209FA"/>
    <w:rsid w:val="006254C1"/>
    <w:rsid w:val="0065309C"/>
    <w:rsid w:val="00665E53"/>
    <w:rsid w:val="00674919"/>
    <w:rsid w:val="00694539"/>
    <w:rsid w:val="00712387"/>
    <w:rsid w:val="0071386B"/>
    <w:rsid w:val="00717CFC"/>
    <w:rsid w:val="00733565"/>
    <w:rsid w:val="0074167E"/>
    <w:rsid w:val="0074693E"/>
    <w:rsid w:val="00790F1D"/>
    <w:rsid w:val="007A77EC"/>
    <w:rsid w:val="007B2660"/>
    <w:rsid w:val="007F0612"/>
    <w:rsid w:val="008126CF"/>
    <w:rsid w:val="00834237"/>
    <w:rsid w:val="0086725D"/>
    <w:rsid w:val="008712EC"/>
    <w:rsid w:val="0087638B"/>
    <w:rsid w:val="00890AF4"/>
    <w:rsid w:val="008D733B"/>
    <w:rsid w:val="008E29A4"/>
    <w:rsid w:val="009156F6"/>
    <w:rsid w:val="00924677"/>
    <w:rsid w:val="00942046"/>
    <w:rsid w:val="009A1CA2"/>
    <w:rsid w:val="009C35C3"/>
    <w:rsid w:val="00A01810"/>
    <w:rsid w:val="00A5634C"/>
    <w:rsid w:val="00A8176C"/>
    <w:rsid w:val="00A8337B"/>
    <w:rsid w:val="00AB520E"/>
    <w:rsid w:val="00B52A03"/>
    <w:rsid w:val="00B911F8"/>
    <w:rsid w:val="00B93597"/>
    <w:rsid w:val="00B96430"/>
    <w:rsid w:val="00BB5469"/>
    <w:rsid w:val="00BE14C4"/>
    <w:rsid w:val="00C1226F"/>
    <w:rsid w:val="00CD2901"/>
    <w:rsid w:val="00CD71A8"/>
    <w:rsid w:val="00D54F9A"/>
    <w:rsid w:val="00D92CAE"/>
    <w:rsid w:val="00DA3578"/>
    <w:rsid w:val="00DF2D5B"/>
    <w:rsid w:val="00DF6C21"/>
    <w:rsid w:val="00E039CD"/>
    <w:rsid w:val="00E37AC3"/>
    <w:rsid w:val="00E41685"/>
    <w:rsid w:val="00EA2F88"/>
    <w:rsid w:val="00EC4523"/>
    <w:rsid w:val="00F6059C"/>
    <w:rsid w:val="00F7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CB646"/>
  <w15:chartTrackingRefBased/>
  <w15:docId w15:val="{D910863C-DF33-43B3-AA76-FE7103BB3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3760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7.xml"/><Relationship Id="rId1" Type="http://schemas.microsoft.com/office/2011/relationships/chartStyle" Target="style7.xml"/><Relationship Id="rId4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7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Costos Operativos - "Turn-around Interacional de 2 horas"</c:v>
                </c:pt>
              </c:strCache>
            </c:strRef>
          </c:tx>
          <c:spPr>
            <a:solidFill>
              <a:srgbClr val="7030A0"/>
            </a:solidFill>
            <a:ln>
              <a:noFill/>
            </a:ln>
            <a:effectLst/>
          </c:spPr>
          <c:invertIfNegative val="0"/>
          <c:dPt>
            <c:idx val="6"/>
            <c:invertIfNegative val="0"/>
            <c:bubble3D val="0"/>
            <c:spPr>
              <a:solidFill>
                <a:srgbClr val="92D05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0-42DF-4A65-92DF-0EFBF8116946}"/>
              </c:ext>
            </c:extLst>
          </c:dPt>
          <c:cat>
            <c:strRef>
              <c:f>Sheet1!$A$2:$A$21</c:f>
              <c:strCache>
                <c:ptCount val="20"/>
                <c:pt idx="0">
                  <c:v>Ecuador</c:v>
                </c:pt>
                <c:pt idx="1">
                  <c:v>Peru</c:v>
                </c:pt>
                <c:pt idx="2">
                  <c:v>Argentina</c:v>
                </c:pt>
                <c:pt idx="3">
                  <c:v>Jamaica</c:v>
                </c:pt>
                <c:pt idx="4">
                  <c:v>Venezuela</c:v>
                </c:pt>
                <c:pt idx="5">
                  <c:v>Colombia</c:v>
                </c:pt>
                <c:pt idx="6">
                  <c:v>Mexico</c:v>
                </c:pt>
                <c:pt idx="7">
                  <c:v>Bolivia</c:v>
                </c:pt>
                <c:pt idx="8">
                  <c:v>Cuba</c:v>
                </c:pt>
                <c:pt idx="9">
                  <c:v>Brazil</c:v>
                </c:pt>
                <c:pt idx="10">
                  <c:v>Chile</c:v>
                </c:pt>
                <c:pt idx="11">
                  <c:v>Bahamas</c:v>
                </c:pt>
                <c:pt idx="12">
                  <c:v>El Salvador</c:v>
                </c:pt>
                <c:pt idx="13">
                  <c:v>Panama</c:v>
                </c:pt>
                <c:pt idx="14">
                  <c:v>Trinidad Tobago</c:v>
                </c:pt>
                <c:pt idx="15">
                  <c:v>Guatemala</c:v>
                </c:pt>
                <c:pt idx="16">
                  <c:v>Belize</c:v>
                </c:pt>
                <c:pt idx="17">
                  <c:v>Aruba</c:v>
                </c:pt>
                <c:pt idx="18">
                  <c:v>D. Republic</c:v>
                </c:pt>
                <c:pt idx="19">
                  <c:v>Costa Rica</c:v>
                </c:pt>
              </c:strCache>
            </c:strRef>
          </c:cat>
          <c:val>
            <c:numRef>
              <c:f>Sheet1!$B$2:$B$21</c:f>
              <c:numCache>
                <c:formatCode>"$"#,##0_);[Red]\("$"#,##0\)</c:formatCode>
                <c:ptCount val="20"/>
                <c:pt idx="0">
                  <c:v>1519</c:v>
                </c:pt>
                <c:pt idx="1">
                  <c:v>866</c:v>
                </c:pt>
                <c:pt idx="2">
                  <c:v>825</c:v>
                </c:pt>
                <c:pt idx="3">
                  <c:v>802</c:v>
                </c:pt>
                <c:pt idx="4">
                  <c:v>785</c:v>
                </c:pt>
                <c:pt idx="5">
                  <c:v>774</c:v>
                </c:pt>
                <c:pt idx="6">
                  <c:v>635</c:v>
                </c:pt>
                <c:pt idx="7">
                  <c:v>600</c:v>
                </c:pt>
                <c:pt idx="8">
                  <c:v>585</c:v>
                </c:pt>
                <c:pt idx="9">
                  <c:v>579</c:v>
                </c:pt>
                <c:pt idx="10">
                  <c:v>450</c:v>
                </c:pt>
                <c:pt idx="11">
                  <c:v>443</c:v>
                </c:pt>
                <c:pt idx="12">
                  <c:v>440</c:v>
                </c:pt>
                <c:pt idx="13">
                  <c:v>322</c:v>
                </c:pt>
                <c:pt idx="14">
                  <c:v>300</c:v>
                </c:pt>
                <c:pt idx="15">
                  <c:v>295</c:v>
                </c:pt>
                <c:pt idx="16">
                  <c:v>280</c:v>
                </c:pt>
                <c:pt idx="17">
                  <c:v>274</c:v>
                </c:pt>
                <c:pt idx="18">
                  <c:v>223</c:v>
                </c:pt>
                <c:pt idx="19">
                  <c:v>155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621-4217-9BD0-B57FF88FC8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9"/>
        <c:overlap val="-49"/>
        <c:axId val="1637539312"/>
        <c:axId val="1631493072"/>
      </c:barChart>
      <c:catAx>
        <c:axId val="1637539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31493072"/>
        <c:crosses val="autoZero"/>
        <c:auto val="1"/>
        <c:lblAlgn val="ctr"/>
        <c:lblOffset val="100"/>
        <c:noMultiLvlLbl val="0"/>
      </c:catAx>
      <c:valAx>
        <c:axId val="1631493072"/>
        <c:scaling>
          <c:orientation val="minMax"/>
        </c:scaling>
        <c:delete val="0"/>
        <c:axPos val="l"/>
        <c:numFmt formatCode="&quot;$&quot;#,##0_);[Red]\(&quot;$&quot;#,##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37539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022874277467453"/>
          <c:y val="4.5377347851049868E-2"/>
          <c:w val="0.66254907239159211"/>
          <c:h val="0.90841689222440947"/>
        </c:manualLayout>
      </c:layout>
      <c:radarChart>
        <c:radarStyle val="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Mexico</c:v>
                </c:pt>
              </c:strCache>
            </c:strRef>
          </c:tx>
          <c:spPr>
            <a:ln w="28575" cap="rnd">
              <a:solidFill>
                <a:srgbClr val="92D050"/>
              </a:solidFill>
              <a:round/>
            </a:ln>
            <a:effectLst/>
          </c:spPr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Infraestructra</c:v>
                </c:pt>
                <c:pt idx="1">
                  <c:v>Tasas e Impuestos</c:v>
                </c:pt>
                <c:pt idx="2">
                  <c:v>Apertura Internacional</c:v>
                </c:pt>
                <c:pt idx="3">
                  <c:v>Predisposicion a Viajar</c:v>
                </c:pt>
                <c:pt idx="4">
                  <c:v>Conectividad Internacional</c:v>
                </c:pt>
                <c:pt idx="5">
                  <c:v>Sostenibilidad</c:v>
                </c:pt>
                <c:pt idx="6">
                  <c:v>Costos Operativos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0.56000000000000005</c:v>
                </c:pt>
                <c:pt idx="1">
                  <c:v>0.87</c:v>
                </c:pt>
                <c:pt idx="2">
                  <c:v>0.57999999999999996</c:v>
                </c:pt>
                <c:pt idx="3">
                  <c:v>0.65</c:v>
                </c:pt>
                <c:pt idx="4">
                  <c:v>0.9</c:v>
                </c:pt>
                <c:pt idx="5">
                  <c:v>0.26</c:v>
                </c:pt>
                <c:pt idx="6">
                  <c:v>0.64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FA0-4EA5-82F3-5CAE012D52B7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Promedio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Infraestructra</c:v>
                </c:pt>
                <c:pt idx="1">
                  <c:v>Tasas e Impuestos</c:v>
                </c:pt>
                <c:pt idx="2">
                  <c:v>Apertura Internacional</c:v>
                </c:pt>
                <c:pt idx="3">
                  <c:v>Predisposicion a Viajar</c:v>
                </c:pt>
                <c:pt idx="4">
                  <c:v>Conectividad Internacional</c:v>
                </c:pt>
                <c:pt idx="5">
                  <c:v>Sostenibilidad</c:v>
                </c:pt>
                <c:pt idx="6">
                  <c:v>Costos Operativos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0.64</c:v>
                </c:pt>
                <c:pt idx="1">
                  <c:v>0.82</c:v>
                </c:pt>
                <c:pt idx="2">
                  <c:v>0.54</c:v>
                </c:pt>
                <c:pt idx="3">
                  <c:v>0.61</c:v>
                </c:pt>
                <c:pt idx="4">
                  <c:v>0.21</c:v>
                </c:pt>
                <c:pt idx="5">
                  <c:v>0.24</c:v>
                </c:pt>
                <c:pt idx="6">
                  <c:v>0.59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FA0-4EA5-82F3-5CAE012D52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59347040"/>
        <c:axId val="373326736"/>
      </c:radarChart>
      <c:catAx>
        <c:axId val="1159347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3326736"/>
        <c:crosses val="autoZero"/>
        <c:auto val="1"/>
        <c:lblAlgn val="ctr"/>
        <c:lblOffset val="100"/>
        <c:noMultiLvlLbl val="0"/>
      </c:catAx>
      <c:valAx>
        <c:axId val="373326736"/>
        <c:scaling>
          <c:orientation val="minMax"/>
        </c:scaling>
        <c:delete val="1"/>
        <c:axPos val="l"/>
        <c:majorGridlines>
          <c:spPr>
            <a:ln w="0" cap="flat" cmpd="sng" algn="ctr">
              <a:solidFill>
                <a:schemeClr val="accent6">
                  <a:lumMod val="20000"/>
                  <a:lumOff val="8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159347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0267321090033616"/>
          <c:y val="0.35178731690796711"/>
          <c:w val="0.17460760758379523"/>
          <c:h val="0.1243823554313775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sz="700"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50"/>
              <a:t>Evolucion de Trafico de Pasajeros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cat>
            <c:strRef>
              <c:f>Sheet1!$A$2:$A$17</c:f>
              <c:strCache>
                <c:ptCount val="1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  <c:pt idx="15">
                  <c:v>2023 (estimado)</c:v>
                </c:pt>
              </c:strCache>
            </c:strRef>
          </c:cat>
          <c:val>
            <c:numRef>
              <c:f>Sheet1!$B$2:$B$17</c:f>
              <c:numCache>
                <c:formatCode>#,##0</c:formatCode>
                <c:ptCount val="16"/>
                <c:pt idx="0">
                  <c:v>53299863</c:v>
                </c:pt>
                <c:pt idx="1">
                  <c:v>46971141</c:v>
                </c:pt>
                <c:pt idx="2">
                  <c:v>48697470</c:v>
                </c:pt>
                <c:pt idx="3">
                  <c:v>50764313</c:v>
                </c:pt>
                <c:pt idx="4">
                  <c:v>55153366</c:v>
                </c:pt>
                <c:pt idx="5">
                  <c:v>60006691</c:v>
                </c:pt>
                <c:pt idx="6">
                  <c:v>65135128</c:v>
                </c:pt>
                <c:pt idx="7">
                  <c:v>73264744</c:v>
                </c:pt>
                <c:pt idx="8">
                  <c:v>81286228</c:v>
                </c:pt>
                <c:pt idx="9">
                  <c:v>89640504</c:v>
                </c:pt>
                <c:pt idx="10">
                  <c:v>96406028</c:v>
                </c:pt>
                <c:pt idx="11">
                  <c:v>101701994.43000001</c:v>
                </c:pt>
                <c:pt idx="12">
                  <c:v>50743983.130000003</c:v>
                </c:pt>
                <c:pt idx="13">
                  <c:v>80319456.25</c:v>
                </c:pt>
                <c:pt idx="14">
                  <c:v>107134232.90000001</c:v>
                </c:pt>
                <c:pt idx="15" formatCode="#,##0.00">
                  <c:v>118940941.55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128-4D5E-B503-EB0496A571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087131552"/>
        <c:axId val="1529483104"/>
      </c:lineChart>
      <c:catAx>
        <c:axId val="1087131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29483104"/>
        <c:crosses val="autoZero"/>
        <c:auto val="1"/>
        <c:lblAlgn val="ctr"/>
        <c:lblOffset val="100"/>
        <c:noMultiLvlLbl val="0"/>
      </c:catAx>
      <c:valAx>
        <c:axId val="1529483104"/>
        <c:scaling>
          <c:orientation val="minMax"/>
        </c:scaling>
        <c:delete val="0"/>
        <c:axPos val="l"/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87131552"/>
        <c:crosses val="autoZero"/>
        <c:crossBetween val="between"/>
        <c:dispUnits>
          <c:builtInUnit val="millions"/>
          <c:dispUnitsLbl>
            <c:layout>
              <c:manualLayout>
                <c:xMode val="edge"/>
                <c:yMode val="edge"/>
                <c:x val="2.7777713276845997E-2"/>
                <c:y val="0.36368663989596589"/>
              </c:manualLayout>
            </c:layout>
            <c:tx>
              <c:rich>
                <a:bodyPr rot="-540000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r>
                    <a:rPr lang="en-US"/>
                    <a:t>Milliones</a:t>
                  </a:r>
                </a:p>
              </c:rich>
            </c:tx>
            <c:spPr>
              <a:noFill/>
              <a:ln>
                <a:noFill/>
              </a:ln>
              <a:effectLst/>
            </c:spPr>
            <c:txPr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</c:dispUnitsLbl>
        </c:dispUnits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CO"/>
              <a:t>Rutas nuevas/canceladas vs 2019 en Ecuador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Rutas Nuevas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Sheet1!$B$1:$C$1</c:f>
              <c:strCache>
                <c:ptCount val="2"/>
                <c:pt idx="0">
                  <c:v>Domestico</c:v>
                </c:pt>
                <c:pt idx="1">
                  <c:v>Internacional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72</c:v>
                </c:pt>
                <c:pt idx="1">
                  <c:v>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025-4F59-B214-7FDC75604E0E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Rutas descontinuadas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Sheet1!$B$1:$C$1</c:f>
              <c:strCache>
                <c:ptCount val="2"/>
                <c:pt idx="0">
                  <c:v>Domestico</c:v>
                </c:pt>
                <c:pt idx="1">
                  <c:v>Internacional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  <c:pt idx="0">
                  <c:v>-53</c:v>
                </c:pt>
                <c:pt idx="1">
                  <c:v>-58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025-4F59-B214-7FDC75604E0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818534240"/>
        <c:axId val="1825902032"/>
      </c:barChart>
      <c:catAx>
        <c:axId val="1818534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25902032"/>
        <c:crosses val="autoZero"/>
        <c:auto val="1"/>
        <c:lblAlgn val="ctr"/>
        <c:lblOffset val="100"/>
        <c:noMultiLvlLbl val="0"/>
      </c:catAx>
      <c:valAx>
        <c:axId val="18259020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185342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CO" sz="1000"/>
              <a:t>Rutas domesticas con</a:t>
            </a:r>
            <a:r>
              <a:rPr lang="es-CO" sz="1000" baseline="0"/>
              <a:t> mayor crecimiento en sillas 2023 vs 2019</a:t>
            </a:r>
            <a:endParaRPr lang="es-CO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Domestico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GDL-TIJ</c:v>
                </c:pt>
                <c:pt idx="1">
                  <c:v>CUN-TIJ</c:v>
                </c:pt>
                <c:pt idx="2">
                  <c:v>CUN-MTY</c:v>
                </c:pt>
                <c:pt idx="3">
                  <c:v>PVR-TIJ</c:v>
                </c:pt>
                <c:pt idx="4">
                  <c:v>SJD-TIJ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677136</c:v>
                </c:pt>
                <c:pt idx="1">
                  <c:v>671724</c:v>
                </c:pt>
                <c:pt idx="2">
                  <c:v>655692</c:v>
                </c:pt>
                <c:pt idx="3">
                  <c:v>458114</c:v>
                </c:pt>
                <c:pt idx="4">
                  <c:v>454430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77-490C-9217-C66C74919A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18534240"/>
        <c:axId val="1825902032"/>
      </c:barChart>
      <c:catAx>
        <c:axId val="1818534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25902032"/>
        <c:crosses val="autoZero"/>
        <c:auto val="1"/>
        <c:lblAlgn val="ctr"/>
        <c:lblOffset val="100"/>
        <c:noMultiLvlLbl val="0"/>
      </c:catAx>
      <c:valAx>
        <c:axId val="18259020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185342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CO" sz="1000"/>
              <a:t>Rutas internacionales con</a:t>
            </a:r>
            <a:r>
              <a:rPr lang="es-CO" sz="1000" baseline="0"/>
              <a:t> mayor crecimiento en sillas</a:t>
            </a:r>
          </a:p>
          <a:p>
            <a:pPr>
              <a:defRPr sz="1000"/>
            </a:pPr>
            <a:r>
              <a:rPr lang="es-CO" sz="1000" baseline="0"/>
              <a:t> 2023 vs 2019</a:t>
            </a:r>
            <a:endParaRPr lang="es-CO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Domestico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GDL-TIJ</c:v>
                </c:pt>
                <c:pt idx="1">
                  <c:v>CUN-TIJ</c:v>
                </c:pt>
                <c:pt idx="2">
                  <c:v>CUN-MTY</c:v>
                </c:pt>
                <c:pt idx="3">
                  <c:v>PVR-TIJ</c:v>
                </c:pt>
                <c:pt idx="4">
                  <c:v>SJD-TIJ</c:v>
                </c:pt>
              </c:strCache>
            </c:strRef>
          </c:cat>
          <c:val>
            <c:numRef>
              <c:f>Sheet1!$B$2:$B$6</c:f>
              <c:numCache>
                <c:formatCode>#,##0</c:formatCode>
                <c:ptCount val="5"/>
                <c:pt idx="0">
                  <c:v>677136</c:v>
                </c:pt>
                <c:pt idx="1">
                  <c:v>671724</c:v>
                </c:pt>
                <c:pt idx="2" formatCode="General">
                  <c:v>655692</c:v>
                </c:pt>
                <c:pt idx="3" formatCode="General">
                  <c:v>458114</c:v>
                </c:pt>
                <c:pt idx="4" formatCode="General">
                  <c:v>454430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4C-44E6-A386-CFC6A9E05E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18534240"/>
        <c:axId val="1825902032"/>
      </c:barChart>
      <c:catAx>
        <c:axId val="1818534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25902032"/>
        <c:crosses val="autoZero"/>
        <c:auto val="1"/>
        <c:lblAlgn val="ctr"/>
        <c:lblOffset val="100"/>
        <c:noMultiLvlLbl val="0"/>
      </c:catAx>
      <c:valAx>
        <c:axId val="1825902032"/>
        <c:scaling>
          <c:orientation val="minMax"/>
        </c:scaling>
        <c:delete val="0"/>
        <c:axPos val="l"/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185342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CO" sz="1000"/>
              <a:t>Capacidad de Asientos entre</a:t>
            </a:r>
            <a:r>
              <a:rPr lang="es-CO" sz="1000" baseline="0"/>
              <a:t> Mexico y USA</a:t>
            </a:r>
            <a:endParaRPr lang="es-CO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Domestico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Sheet1!$A$2:$A$6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Sheet1!$B$2:$B$6</c:f>
              <c:numCache>
                <c:formatCode>#,##0</c:formatCode>
                <c:ptCount val="5"/>
                <c:pt idx="0">
                  <c:v>37131970</c:v>
                </c:pt>
                <c:pt idx="1">
                  <c:v>23018861</c:v>
                </c:pt>
                <c:pt idx="2">
                  <c:v>40660246</c:v>
                </c:pt>
                <c:pt idx="3">
                  <c:v>44359712</c:v>
                </c:pt>
                <c:pt idx="4">
                  <c:v>45724399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2A1-453C-9A5D-90F9CD637E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18534240"/>
        <c:axId val="1825902032"/>
      </c:barChart>
      <c:catAx>
        <c:axId val="1818534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25902032"/>
        <c:crosses val="autoZero"/>
        <c:auto val="1"/>
        <c:lblAlgn val="ctr"/>
        <c:lblOffset val="100"/>
        <c:noMultiLvlLbl val="0"/>
      </c:catAx>
      <c:valAx>
        <c:axId val="1825902032"/>
        <c:scaling>
          <c:orientation val="minMax"/>
        </c:scaling>
        <c:delete val="0"/>
        <c:axPos val="l"/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18534240"/>
        <c:crosses val="autoZero"/>
        <c:crossBetween val="between"/>
        <c:dispUnits>
          <c:builtInUnit val="millions"/>
          <c:dispUnitsLbl>
            <c:layout>
              <c:manualLayout>
                <c:xMode val="edge"/>
                <c:yMode val="edge"/>
                <c:x val="2.9498525073746312E-2"/>
                <c:y val="0.48890888638920132"/>
              </c:manualLayout>
            </c:layout>
            <c:tx>
              <c:rich>
                <a:bodyPr rot="-540000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r>
                    <a:rPr lang="en-US"/>
                    <a:t>Milliones de Asientos</a:t>
                  </a:r>
                </a:p>
              </c:rich>
            </c:tx>
            <c:spPr>
              <a:noFill/>
              <a:ln>
                <a:noFill/>
              </a:ln>
              <a:effectLst/>
            </c:spPr>
            <c:txPr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</c:dispUnitsLbl>
        </c:dispUnits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en-US"/>
    </a:p>
  </c:txPr>
  <c:externalData r:id="rId4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Market Share 2023 Pasajeros MX-US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Sheet1!$A$2:$A$3</c:f>
              <c:strCache>
                <c:ptCount val="2"/>
                <c:pt idx="0">
                  <c:v>Aerolineas Mexico</c:v>
                </c:pt>
                <c:pt idx="1">
                  <c:v>Aerolinas USA</c:v>
                </c:pt>
              </c:strCache>
            </c:strRef>
          </c:cat>
          <c:val>
            <c:numRef>
              <c:f>Sheet1!$B$2:$B$3</c:f>
              <c:numCache>
                <c:formatCode>0%</c:formatCode>
                <c:ptCount val="2"/>
                <c:pt idx="0">
                  <c:v>0.73</c:v>
                </c:pt>
                <c:pt idx="1">
                  <c:v>0.27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07A-4589-953D-AA1B96E2D37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Sarmiento</dc:creator>
  <cp:keywords/>
  <dc:description/>
  <cp:lastModifiedBy>Juan Sarmiento</cp:lastModifiedBy>
  <cp:revision>65</cp:revision>
  <dcterms:created xsi:type="dcterms:W3CDTF">2023-09-20T14:51:00Z</dcterms:created>
  <dcterms:modified xsi:type="dcterms:W3CDTF">2023-09-20T18:38:00Z</dcterms:modified>
</cp:coreProperties>
</file>