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5484" w14:textId="77777777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>Los viajes de ocio y las búsquedas de experiencias repuntan</w:t>
      </w:r>
    </w:p>
    <w:p w14:paraId="2D814AA9" w14:textId="77777777" w:rsidR="00C2709A" w:rsidRDefault="00C2709A">
      <w:pPr>
        <w:rPr>
          <w:ins w:id="0" w:author="Juan Sarmiento" w:date="2023-09-27T12:25:00Z"/>
          <w:b/>
          <w:sz w:val="24"/>
          <w:szCs w:val="24"/>
          <w:lang w:val="es-VE"/>
        </w:rPr>
      </w:pPr>
    </w:p>
    <w:p w14:paraId="3E60A7E2" w14:textId="77777777" w:rsidR="0081228A" w:rsidRPr="005A6FB2" w:rsidRDefault="0081228A" w:rsidP="0081228A">
      <w:pPr>
        <w:rPr>
          <w:ins w:id="1" w:author="Juan Sarmiento" w:date="2023-09-27T12:25:00Z"/>
          <w:b/>
          <w:sz w:val="24"/>
          <w:szCs w:val="24"/>
          <w:lang w:val="es-VE"/>
        </w:rPr>
      </w:pPr>
      <w:ins w:id="2" w:author="Juan Sarmiento" w:date="2023-09-27T12:25:00Z">
        <w:r w:rsidRPr="005A6FB2">
          <w:rPr>
            <w:b/>
            <w:sz w:val="24"/>
            <w:szCs w:val="24"/>
            <w:lang w:val="es-VE"/>
          </w:rPr>
          <w:t xml:space="preserve">La región </w:t>
        </w:r>
        <w:r>
          <w:rPr>
            <w:b/>
            <w:sz w:val="24"/>
            <w:szCs w:val="24"/>
            <w:lang w:val="es-VE"/>
          </w:rPr>
          <w:t>avanza en su</w:t>
        </w:r>
        <w:r w:rsidRPr="005A6FB2">
          <w:rPr>
            <w:b/>
            <w:sz w:val="24"/>
            <w:szCs w:val="24"/>
            <w:lang w:val="es-VE"/>
          </w:rPr>
          <w:t xml:space="preserve"> recupera</w:t>
        </w:r>
        <w:r>
          <w:rPr>
            <w:b/>
            <w:sz w:val="24"/>
            <w:szCs w:val="24"/>
            <w:lang w:val="es-VE"/>
          </w:rPr>
          <w:t>ción</w:t>
        </w:r>
      </w:ins>
    </w:p>
    <w:p w14:paraId="1D155A7A" w14:textId="77777777" w:rsidR="0081228A" w:rsidRPr="005A6FB2" w:rsidRDefault="0081228A" w:rsidP="0081228A">
      <w:pPr>
        <w:rPr>
          <w:ins w:id="3" w:author="Juan Sarmiento" w:date="2023-09-27T12:25:00Z"/>
          <w:sz w:val="24"/>
          <w:szCs w:val="24"/>
          <w:lang w:val="es-VE"/>
        </w:rPr>
      </w:pPr>
    </w:p>
    <w:p w14:paraId="0259BBF2" w14:textId="2E02CA4D" w:rsidR="0081228A" w:rsidRPr="005A6FB2" w:rsidRDefault="0081228A" w:rsidP="0081228A">
      <w:pPr>
        <w:rPr>
          <w:ins w:id="4" w:author="Juan Sarmiento" w:date="2023-09-27T12:25:00Z"/>
          <w:sz w:val="24"/>
          <w:szCs w:val="24"/>
          <w:lang w:val="es-VE"/>
        </w:rPr>
      </w:pPr>
      <w:ins w:id="5" w:author="Juan Sarmiento" w:date="2023-09-27T12:25:00Z">
        <w:r w:rsidRPr="005A6FB2">
          <w:rPr>
            <w:sz w:val="24"/>
            <w:szCs w:val="24"/>
            <w:lang w:val="es-VE"/>
          </w:rPr>
          <w:t>Panamá</w:t>
        </w:r>
        <w:r>
          <w:rPr>
            <w:sz w:val="24"/>
            <w:szCs w:val="24"/>
            <w:lang w:val="es-VE"/>
          </w:rPr>
          <w:t xml:space="preserve"> </w:t>
        </w:r>
        <w:r w:rsidRPr="005A6FB2">
          <w:rPr>
            <w:sz w:val="24"/>
            <w:szCs w:val="24"/>
            <w:lang w:val="es-VE"/>
          </w:rPr>
          <w:t>- La Asociación Latinoamericana y del Caribe de Transporte Aéreo (ALTA)</w:t>
        </w:r>
        <w:r>
          <w:rPr>
            <w:sz w:val="24"/>
            <w:szCs w:val="24"/>
            <w:lang w:val="es-VE"/>
          </w:rPr>
          <w:t xml:space="preserve"> informa que </w:t>
        </w:r>
        <w:r>
          <w:rPr>
            <w:sz w:val="24"/>
            <w:szCs w:val="24"/>
            <w:lang w:val="es-VE"/>
          </w:rPr>
          <w:t>Latinoamérica y el Caribe (</w:t>
        </w:r>
        <w:r w:rsidRPr="005A6FB2">
          <w:rPr>
            <w:sz w:val="24"/>
            <w:szCs w:val="24"/>
            <w:lang w:val="es-VE"/>
          </w:rPr>
          <w:t>LAC</w:t>
        </w:r>
        <w:r>
          <w:rPr>
            <w:sz w:val="24"/>
            <w:szCs w:val="24"/>
            <w:lang w:val="es-VE"/>
          </w:rPr>
          <w:t>)</w:t>
        </w:r>
        <w:r w:rsidRPr="005A6FB2">
          <w:rPr>
            <w:sz w:val="24"/>
            <w:szCs w:val="24"/>
            <w:lang w:val="es-VE"/>
          </w:rPr>
          <w:t xml:space="preserve"> ha mostrado una importante recuperación</w:t>
        </w:r>
        <w:r>
          <w:rPr>
            <w:sz w:val="24"/>
            <w:szCs w:val="24"/>
            <w:lang w:val="es-VE"/>
          </w:rPr>
          <w:t xml:space="preserve"> en la llegada de tu</w:t>
        </w:r>
      </w:ins>
      <w:ins w:id="6" w:author="Juan Sarmiento" w:date="2023-09-27T12:26:00Z">
        <w:r>
          <w:rPr>
            <w:sz w:val="24"/>
            <w:szCs w:val="24"/>
            <w:lang w:val="es-VE"/>
          </w:rPr>
          <w:t xml:space="preserve">ristas internacionales a los países de la </w:t>
        </w:r>
        <w:proofErr w:type="spellStart"/>
        <w:r>
          <w:rPr>
            <w:sz w:val="24"/>
            <w:szCs w:val="24"/>
            <w:lang w:val="es-VE"/>
          </w:rPr>
          <w:t>region</w:t>
        </w:r>
      </w:ins>
      <w:proofErr w:type="spellEnd"/>
      <w:ins w:id="7" w:author="Juan Sarmiento" w:date="2023-09-27T12:25:00Z">
        <w:r w:rsidRPr="005A6FB2">
          <w:rPr>
            <w:sz w:val="24"/>
            <w:szCs w:val="24"/>
            <w:lang w:val="es-VE"/>
          </w:rPr>
          <w:t xml:space="preserve"> después de la pandemia. </w:t>
        </w:r>
        <w:r>
          <w:rPr>
            <w:sz w:val="24"/>
            <w:szCs w:val="24"/>
            <w:lang w:val="es-VE"/>
          </w:rPr>
          <w:t>E</w:t>
        </w:r>
        <w:r w:rsidRPr="005A6FB2">
          <w:rPr>
            <w:sz w:val="24"/>
            <w:szCs w:val="24"/>
            <w:lang w:val="es-VE"/>
          </w:rPr>
          <w:t xml:space="preserve">n 2022, 91.9 millones de turistas internacionales visitaron la región, lo que se traduce en </w:t>
        </w:r>
        <w:r>
          <w:rPr>
            <w:sz w:val="24"/>
            <w:szCs w:val="24"/>
            <w:lang w:val="es-VE"/>
          </w:rPr>
          <w:t>un</w:t>
        </w:r>
        <w:r w:rsidRPr="005A6FB2">
          <w:rPr>
            <w:sz w:val="24"/>
            <w:szCs w:val="24"/>
            <w:lang w:val="es-VE"/>
          </w:rPr>
          <w:t xml:space="preserve"> 78% </w:t>
        </w:r>
        <w:r>
          <w:rPr>
            <w:sz w:val="24"/>
            <w:szCs w:val="24"/>
            <w:lang w:val="es-VE"/>
          </w:rPr>
          <w:t>de los niveles</w:t>
        </w:r>
        <w:r w:rsidRPr="005A6FB2">
          <w:rPr>
            <w:sz w:val="24"/>
            <w:szCs w:val="24"/>
            <w:lang w:val="es-VE"/>
          </w:rPr>
          <w:t xml:space="preserve"> </w:t>
        </w:r>
        <w:r>
          <w:rPr>
            <w:sz w:val="24"/>
            <w:szCs w:val="24"/>
            <w:lang w:val="es-VE"/>
          </w:rPr>
          <w:t>de</w:t>
        </w:r>
        <w:r w:rsidRPr="005A6FB2">
          <w:rPr>
            <w:sz w:val="24"/>
            <w:szCs w:val="24"/>
            <w:lang w:val="es-VE"/>
          </w:rPr>
          <w:t xml:space="preserve"> 2019. En lo que respecta a este año, para los meses de enero a julio se registraron en total 65 millones de turistas, 8% por debajo de 2019. La subregión con mayor recuperación (ene-jul 23) fue Centroamérica, excediendo en 2% los niveles prepandemia. El Caribe se encuentra por debajo en 5% y Sudamérica 13% por debajo</w:t>
        </w:r>
      </w:ins>
    </w:p>
    <w:p w14:paraId="478BE1E5" w14:textId="71CB70D4" w:rsidR="0081228A" w:rsidRPr="0081228A" w:rsidRDefault="0081228A" w:rsidP="0081228A">
      <w:pPr>
        <w:rPr>
          <w:ins w:id="8" w:author="Juan Sarmiento" w:date="2023-09-27T12:25:00Z"/>
          <w:lang w:val="es-ES"/>
          <w:rPrChange w:id="9" w:author="Juan Sarmiento" w:date="2023-09-27T12:25:00Z">
            <w:rPr>
              <w:ins w:id="10" w:author="Juan Sarmiento" w:date="2023-09-27T12:25:00Z"/>
            </w:rPr>
          </w:rPrChange>
        </w:rPr>
      </w:pPr>
      <w:ins w:id="11" w:author="Juan Sarmiento" w:date="2023-09-27T12:25:00Z">
        <w:r>
          <w:rPr>
            <w:noProof/>
          </w:rPr>
          <w:drawing>
            <wp:anchor distT="0" distB="0" distL="114300" distR="114300" simplePos="0" relativeHeight="251669504" behindDoc="0" locked="0" layoutInCell="1" hidden="0" allowOverlap="1" wp14:anchorId="627C24A1" wp14:editId="04EEDEB8">
              <wp:simplePos x="0" y="0"/>
              <wp:positionH relativeFrom="column">
                <wp:posOffset>3436620</wp:posOffset>
              </wp:positionH>
              <wp:positionV relativeFrom="paragraph">
                <wp:posOffset>68580</wp:posOffset>
              </wp:positionV>
              <wp:extent cx="2965450" cy="1625600"/>
              <wp:effectExtent l="0" t="0" r="6350" b="0"/>
              <wp:wrapNone/>
              <wp:docPr id="1310187838" name="Chart 1310187838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4"/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8480" behindDoc="0" locked="0" layoutInCell="1" hidden="0" allowOverlap="1" wp14:anchorId="4BDF8AF4" wp14:editId="73F53096">
              <wp:simplePos x="0" y="0"/>
              <wp:positionH relativeFrom="margin">
                <wp:align>left</wp:align>
              </wp:positionH>
              <wp:positionV relativeFrom="paragraph">
                <wp:posOffset>127635</wp:posOffset>
              </wp:positionV>
              <wp:extent cx="3067050" cy="1682750"/>
              <wp:effectExtent l="0" t="0" r="0" b="0"/>
              <wp:wrapNone/>
              <wp:docPr id="2025349488" name="Chart 2025349488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5"/>
                </a:graphicData>
              </a:graphic>
            </wp:anchor>
          </w:drawing>
        </w:r>
        <w:r w:rsidRPr="005A6FB2">
          <w:rPr>
            <w:sz w:val="24"/>
            <w:szCs w:val="24"/>
            <w:lang w:val="es-VE"/>
          </w:rPr>
          <w:t>.</w:t>
        </w:r>
      </w:ins>
    </w:p>
    <w:p w14:paraId="1877030C" w14:textId="77777777" w:rsidR="0081228A" w:rsidRDefault="0081228A" w:rsidP="0081228A">
      <w:pPr>
        <w:rPr>
          <w:ins w:id="12" w:author="Juan Sarmiento" w:date="2023-09-27T12:27:00Z"/>
          <w:b/>
          <w:sz w:val="24"/>
          <w:szCs w:val="24"/>
          <w:lang w:val="es-VE"/>
        </w:rPr>
      </w:pPr>
    </w:p>
    <w:p w14:paraId="6E5344F1" w14:textId="77777777" w:rsidR="0081228A" w:rsidRDefault="0081228A" w:rsidP="0081228A">
      <w:pPr>
        <w:rPr>
          <w:ins w:id="13" w:author="Juan Sarmiento" w:date="2023-09-27T12:27:00Z"/>
          <w:b/>
          <w:sz w:val="24"/>
          <w:szCs w:val="24"/>
          <w:lang w:val="es-VE"/>
        </w:rPr>
      </w:pPr>
    </w:p>
    <w:p w14:paraId="39169EC4" w14:textId="77777777" w:rsidR="0081228A" w:rsidRDefault="0081228A" w:rsidP="0081228A">
      <w:pPr>
        <w:rPr>
          <w:ins w:id="14" w:author="Juan Sarmiento" w:date="2023-09-27T12:27:00Z"/>
          <w:b/>
          <w:sz w:val="24"/>
          <w:szCs w:val="24"/>
          <w:lang w:val="es-VE"/>
        </w:rPr>
      </w:pPr>
    </w:p>
    <w:p w14:paraId="2768EAC4" w14:textId="77777777" w:rsidR="0081228A" w:rsidRDefault="0081228A" w:rsidP="0081228A">
      <w:pPr>
        <w:rPr>
          <w:ins w:id="15" w:author="Juan Sarmiento" w:date="2023-09-27T12:27:00Z"/>
          <w:b/>
          <w:sz w:val="24"/>
          <w:szCs w:val="24"/>
          <w:lang w:val="es-VE"/>
        </w:rPr>
      </w:pPr>
    </w:p>
    <w:p w14:paraId="18167E1B" w14:textId="77777777" w:rsidR="0081228A" w:rsidRDefault="0081228A" w:rsidP="0081228A">
      <w:pPr>
        <w:rPr>
          <w:ins w:id="16" w:author="Juan Sarmiento" w:date="2023-09-27T12:27:00Z"/>
          <w:b/>
          <w:sz w:val="24"/>
          <w:szCs w:val="24"/>
          <w:lang w:val="es-VE"/>
        </w:rPr>
      </w:pPr>
    </w:p>
    <w:p w14:paraId="726CA268" w14:textId="77777777" w:rsidR="0081228A" w:rsidRDefault="0081228A" w:rsidP="0081228A">
      <w:pPr>
        <w:rPr>
          <w:ins w:id="17" w:author="Juan Sarmiento" w:date="2023-09-27T12:27:00Z"/>
          <w:b/>
          <w:sz w:val="24"/>
          <w:szCs w:val="24"/>
          <w:lang w:val="es-VE"/>
        </w:rPr>
      </w:pPr>
    </w:p>
    <w:p w14:paraId="2EFC59C3" w14:textId="77777777" w:rsidR="0081228A" w:rsidRDefault="0081228A" w:rsidP="0081228A">
      <w:pPr>
        <w:rPr>
          <w:ins w:id="18" w:author="Juan Sarmiento" w:date="2023-09-27T12:27:00Z"/>
          <w:b/>
          <w:sz w:val="24"/>
          <w:szCs w:val="24"/>
          <w:lang w:val="es-VE"/>
        </w:rPr>
      </w:pPr>
    </w:p>
    <w:p w14:paraId="145F2ECF" w14:textId="77777777" w:rsidR="0081228A" w:rsidRDefault="0081228A" w:rsidP="0081228A">
      <w:pPr>
        <w:rPr>
          <w:ins w:id="19" w:author="Juan Sarmiento" w:date="2023-09-27T12:27:00Z"/>
          <w:b/>
          <w:sz w:val="24"/>
          <w:szCs w:val="24"/>
          <w:lang w:val="es-VE"/>
        </w:rPr>
      </w:pPr>
    </w:p>
    <w:p w14:paraId="745EBB85" w14:textId="77777777" w:rsidR="0081228A" w:rsidRDefault="0081228A" w:rsidP="0081228A">
      <w:pPr>
        <w:rPr>
          <w:ins w:id="20" w:author="Juan Sarmiento" w:date="2023-09-27T12:27:00Z"/>
          <w:b/>
          <w:sz w:val="24"/>
          <w:szCs w:val="24"/>
          <w:lang w:val="es-VE"/>
        </w:rPr>
      </w:pPr>
    </w:p>
    <w:p w14:paraId="5603BCF1" w14:textId="77777777" w:rsidR="0081228A" w:rsidRDefault="0081228A" w:rsidP="0081228A">
      <w:pPr>
        <w:rPr>
          <w:ins w:id="21" w:author="Juan Sarmiento" w:date="2023-09-27T12:27:00Z"/>
          <w:b/>
          <w:sz w:val="24"/>
          <w:szCs w:val="24"/>
          <w:lang w:val="es-VE"/>
        </w:rPr>
      </w:pPr>
    </w:p>
    <w:p w14:paraId="69DDC4C7" w14:textId="77777777" w:rsidR="0081228A" w:rsidRDefault="0081228A" w:rsidP="0081228A">
      <w:pPr>
        <w:rPr>
          <w:ins w:id="22" w:author="Juan Sarmiento" w:date="2023-09-27T12:27:00Z"/>
          <w:b/>
          <w:sz w:val="24"/>
          <w:szCs w:val="24"/>
          <w:lang w:val="es-VE"/>
        </w:rPr>
      </w:pPr>
    </w:p>
    <w:p w14:paraId="5C65E3C3" w14:textId="07B946CC" w:rsidR="0081228A" w:rsidRPr="005A6FB2" w:rsidRDefault="0081228A" w:rsidP="0081228A">
      <w:pPr>
        <w:rPr>
          <w:ins w:id="23" w:author="Juan Sarmiento" w:date="2023-09-27T12:25:00Z"/>
          <w:b/>
          <w:sz w:val="24"/>
          <w:szCs w:val="24"/>
          <w:lang w:val="es-VE"/>
        </w:rPr>
      </w:pPr>
      <w:ins w:id="24" w:author="Juan Sarmiento" w:date="2023-09-27T12:25:00Z">
        <w:r w:rsidRPr="005A6FB2">
          <w:rPr>
            <w:b/>
            <w:sz w:val="24"/>
            <w:szCs w:val="24"/>
            <w:lang w:val="es-VE"/>
          </w:rPr>
          <w:t xml:space="preserve">Colombia, </w:t>
        </w:r>
        <w:r>
          <w:rPr>
            <w:b/>
            <w:sz w:val="24"/>
            <w:szCs w:val="24"/>
            <w:lang w:val="es-VE"/>
          </w:rPr>
          <w:t xml:space="preserve">República </w:t>
        </w:r>
        <w:r w:rsidRPr="005A6FB2">
          <w:rPr>
            <w:b/>
            <w:sz w:val="24"/>
            <w:szCs w:val="24"/>
            <w:lang w:val="es-VE"/>
          </w:rPr>
          <w:t>Dominicana y Aruba con mejor desempeño</w:t>
        </w:r>
      </w:ins>
    </w:p>
    <w:p w14:paraId="74AB2EB2" w14:textId="1A5FB4A5" w:rsidR="0081228A" w:rsidRDefault="0081228A">
      <w:pPr>
        <w:rPr>
          <w:ins w:id="25" w:author="Juan Sarmiento" w:date="2023-09-27T12:28:00Z"/>
          <w:b/>
          <w:sz w:val="24"/>
          <w:szCs w:val="24"/>
          <w:lang w:val="es-VE"/>
        </w:rPr>
      </w:pPr>
    </w:p>
    <w:p w14:paraId="708F109A" w14:textId="77777777" w:rsidR="0081228A" w:rsidRPr="005A6FB2" w:rsidRDefault="0081228A" w:rsidP="0081228A">
      <w:pPr>
        <w:rPr>
          <w:ins w:id="26" w:author="Juan Sarmiento" w:date="2023-09-27T12:28:00Z"/>
          <w:sz w:val="24"/>
          <w:szCs w:val="24"/>
          <w:lang w:val="es-VE"/>
        </w:rPr>
      </w:pPr>
      <w:ins w:id="27" w:author="Juan Sarmiento" w:date="2023-09-27T12:28:00Z">
        <w:r w:rsidRPr="005A6FB2">
          <w:rPr>
            <w:sz w:val="24"/>
            <w:szCs w:val="24"/>
            <w:lang w:val="es-VE"/>
          </w:rPr>
          <w:t>Los países que han experimentado la mayor recuperación frente a 2019 son Colombia y República Dominicana y Aruba con 23%, 17% y 17%, respectivamente, por encima de los meses de enero-julio de 2019.</w:t>
        </w:r>
      </w:ins>
    </w:p>
    <w:p w14:paraId="3B7CE26D" w14:textId="77777777" w:rsidR="0081228A" w:rsidRDefault="0081228A" w:rsidP="0081228A">
      <w:pPr>
        <w:jc w:val="center"/>
        <w:rPr>
          <w:ins w:id="28" w:author="Juan Sarmiento" w:date="2023-09-27T12:28:00Z"/>
          <w:sz w:val="24"/>
          <w:szCs w:val="24"/>
        </w:rPr>
      </w:pPr>
      <w:ins w:id="29" w:author="Juan Sarmiento" w:date="2023-09-27T12:28:00Z">
        <w:r>
          <w:rPr>
            <w:noProof/>
          </w:rPr>
          <w:drawing>
            <wp:inline distT="0" distB="0" distL="0" distR="0" wp14:anchorId="5923D103" wp14:editId="4E163AAD">
              <wp:extent cx="4675910" cy="2251364"/>
              <wp:effectExtent l="0" t="0" r="0" b="0"/>
              <wp:docPr id="1117078379" name="Chart 1117078379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6"/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1552" behindDoc="0" locked="0" layoutInCell="1" hidden="0" allowOverlap="1" wp14:anchorId="45D5EFD7" wp14:editId="3B5EE1A6">
                  <wp:simplePos x="0" y="0"/>
                  <wp:positionH relativeFrom="column">
                    <wp:posOffset>41276</wp:posOffset>
                  </wp:positionH>
                  <wp:positionV relativeFrom="paragraph">
                    <wp:posOffset>2422756</wp:posOffset>
                  </wp:positionV>
                  <wp:extent cx="3512127" cy="228600"/>
                  <wp:effectExtent l="0" t="0" r="0" b="0"/>
                  <wp:wrapNone/>
                  <wp:docPr id="1634789973" name="Text Box 16347899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512127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9113E0" w14:textId="77777777" w:rsidR="0081228A" w:rsidRPr="00396332" w:rsidRDefault="0081228A" w:rsidP="0081228A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</w:pP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Fuentes: Análisis de ALTA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basado en datos de </w:t>
                              </w: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>OMT</w:t>
                              </w:r>
                            </w:p>
                            <w:p w14:paraId="27B4440E" w14:textId="77777777" w:rsidR="0081228A" w:rsidRPr="005A6FB2" w:rsidRDefault="0081228A" w:rsidP="0081228A">
                              <w:pPr>
                                <w:rPr>
                                  <w:sz w:val="16"/>
                                  <w:szCs w:val="16"/>
                                  <w:lang w:val="es-V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5D5EFD7" id="_x0000_t202" coordsize="21600,21600" o:spt="202" path="m,l,21600r21600,l21600,xe">
                  <v:stroke joinstyle="miter"/>
                  <v:path gradientshapeok="t" o:connecttype="rect"/>
                </v:shapetype>
                <v:shape id="Text Box 1634789973" o:spid="_x0000_s1026" type="#_x0000_t202" style="position:absolute;left:0;text-align:left;margin-left:3.25pt;margin-top:190.75pt;width:276.5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" fillcolor="white [3201]" stroked="f" strokeweight=".5pt">
                  <v:textbox>
                    <w:txbxContent>
                      <w:p w14:paraId="1B9113E0" w14:textId="77777777" w:rsidR="0081228A" w:rsidRPr="00396332" w:rsidRDefault="0081228A" w:rsidP="0081228A">
                        <w:pP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</w:pP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Fuentes: Análisis de ALTA 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basado en datos de </w:t>
                        </w: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>OMT</w:t>
                        </w:r>
                      </w:p>
                      <w:p w14:paraId="27B4440E" w14:textId="77777777" w:rsidR="0081228A" w:rsidRPr="005A6FB2" w:rsidRDefault="0081228A" w:rsidP="0081228A">
                        <w:pPr>
                          <w:rPr>
                            <w:sz w:val="16"/>
                            <w:szCs w:val="16"/>
                            <w:lang w:val="es-VE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ins>
    </w:p>
    <w:p w14:paraId="41073A74" w14:textId="77777777" w:rsidR="0081228A" w:rsidRDefault="0081228A" w:rsidP="0081228A">
      <w:pPr>
        <w:rPr>
          <w:ins w:id="30" w:author="Juan Sarmiento" w:date="2023-09-27T12:28:00Z"/>
          <w:sz w:val="24"/>
          <w:szCs w:val="24"/>
          <w:lang w:val="es-VE"/>
        </w:rPr>
      </w:pPr>
    </w:p>
    <w:p w14:paraId="4D5A3939" w14:textId="77777777" w:rsidR="0081228A" w:rsidRDefault="0081228A" w:rsidP="0081228A">
      <w:pPr>
        <w:rPr>
          <w:ins w:id="31" w:author="Juan Sarmiento" w:date="2023-09-27T12:28:00Z"/>
          <w:sz w:val="24"/>
          <w:szCs w:val="24"/>
          <w:lang w:val="es-VE"/>
        </w:rPr>
      </w:pPr>
    </w:p>
    <w:p w14:paraId="19522BAE" w14:textId="77777777" w:rsidR="0081228A" w:rsidRDefault="0081228A" w:rsidP="0081228A">
      <w:pPr>
        <w:rPr>
          <w:ins w:id="32" w:author="Juan Sarmiento" w:date="2023-09-27T12:28:00Z"/>
          <w:sz w:val="24"/>
          <w:szCs w:val="24"/>
          <w:lang w:val="es-VE"/>
        </w:rPr>
      </w:pPr>
    </w:p>
    <w:p w14:paraId="0062823D" w14:textId="77777777" w:rsidR="0081228A" w:rsidRDefault="0081228A" w:rsidP="0081228A">
      <w:pPr>
        <w:rPr>
          <w:ins w:id="33" w:author="Juan Sarmiento" w:date="2023-09-27T12:28:00Z"/>
          <w:sz w:val="24"/>
          <w:szCs w:val="24"/>
          <w:lang w:val="es-VE"/>
        </w:rPr>
      </w:pPr>
    </w:p>
    <w:p w14:paraId="5E2B1156" w14:textId="77777777" w:rsidR="0081228A" w:rsidRPr="005A6FB2" w:rsidRDefault="0081228A" w:rsidP="0081228A">
      <w:pPr>
        <w:rPr>
          <w:ins w:id="34" w:author="Juan Sarmiento" w:date="2023-09-27T12:28:00Z"/>
          <w:sz w:val="24"/>
          <w:szCs w:val="24"/>
          <w:lang w:val="es-VE"/>
        </w:rPr>
      </w:pPr>
      <w:ins w:id="35" w:author="Juan Sarmiento" w:date="2023-09-27T12:28:00Z">
        <w:r w:rsidRPr="005A6FB2">
          <w:rPr>
            <w:sz w:val="24"/>
            <w:szCs w:val="24"/>
            <w:lang w:val="es-VE"/>
          </w:rPr>
          <w:t xml:space="preserve">A inicios de 2023, los tres principales </w:t>
        </w:r>
        <w:r>
          <w:rPr>
            <w:sz w:val="24"/>
            <w:szCs w:val="24"/>
            <w:lang w:val="es-VE"/>
          </w:rPr>
          <w:t>países emisores de turistas</w:t>
        </w:r>
        <w:r w:rsidRPr="005A6FB2">
          <w:rPr>
            <w:sz w:val="24"/>
            <w:szCs w:val="24"/>
            <w:lang w:val="es-VE"/>
          </w:rPr>
          <w:t xml:space="preserve"> </w:t>
        </w:r>
        <w:r>
          <w:rPr>
            <w:sz w:val="24"/>
            <w:szCs w:val="24"/>
            <w:lang w:val="es-VE"/>
          </w:rPr>
          <w:t>hacia</w:t>
        </w:r>
        <w:r w:rsidRPr="005A6FB2">
          <w:rPr>
            <w:sz w:val="24"/>
            <w:szCs w:val="24"/>
            <w:lang w:val="es-VE"/>
          </w:rPr>
          <w:t xml:space="preserve"> Latinoamérica y el Caribe </w:t>
        </w:r>
        <w:r>
          <w:rPr>
            <w:sz w:val="24"/>
            <w:szCs w:val="24"/>
            <w:lang w:val="es-VE"/>
          </w:rPr>
          <w:t>fueron</w:t>
        </w:r>
        <w:r w:rsidRPr="005A6FB2">
          <w:rPr>
            <w:sz w:val="24"/>
            <w:szCs w:val="24"/>
            <w:lang w:val="es-VE"/>
          </w:rPr>
          <w:t xml:space="preserve"> Estados Unidos, Canadá y el Reino Unido. En este sentido, el mercado emisor más grande </w:t>
        </w:r>
        <w:r>
          <w:rPr>
            <w:sz w:val="24"/>
            <w:szCs w:val="24"/>
            <w:lang w:val="es-VE"/>
          </w:rPr>
          <w:t>ha sido</w:t>
        </w:r>
        <w:r w:rsidRPr="005A6FB2">
          <w:rPr>
            <w:sz w:val="24"/>
            <w:szCs w:val="24"/>
            <w:lang w:val="es-VE"/>
          </w:rPr>
          <w:t xml:space="preserve"> Estados Unidos y el país que recibe más turistas</w:t>
        </w:r>
        <w:r>
          <w:rPr>
            <w:sz w:val="24"/>
            <w:szCs w:val="24"/>
            <w:lang w:val="es-VE"/>
          </w:rPr>
          <w:t xml:space="preserve">, </w:t>
        </w:r>
        <w:r w:rsidRPr="005A6FB2">
          <w:rPr>
            <w:sz w:val="24"/>
            <w:szCs w:val="24"/>
            <w:lang w:val="es-VE"/>
          </w:rPr>
          <w:t>México, con cerca de 24 millones de turistas internacionales en los meses de enero a julio de 2023.</w:t>
        </w:r>
      </w:ins>
    </w:p>
    <w:p w14:paraId="3544EC68" w14:textId="77777777" w:rsidR="0081228A" w:rsidRPr="005A6FB2" w:rsidRDefault="0081228A" w:rsidP="0081228A">
      <w:pPr>
        <w:rPr>
          <w:ins w:id="36" w:author="Juan Sarmiento" w:date="2023-09-27T12:28:00Z"/>
          <w:sz w:val="24"/>
          <w:szCs w:val="24"/>
          <w:lang w:val="es-VE"/>
        </w:rPr>
      </w:pPr>
    </w:p>
    <w:p w14:paraId="302E23AE" w14:textId="77777777" w:rsidR="0081228A" w:rsidRDefault="0081228A" w:rsidP="0081228A">
      <w:pPr>
        <w:rPr>
          <w:ins w:id="37" w:author="Juan Sarmiento" w:date="2023-09-27T12:28:00Z"/>
          <w:sz w:val="24"/>
          <w:szCs w:val="24"/>
          <w:highlight w:val="yellow"/>
        </w:rPr>
      </w:pPr>
      <w:ins w:id="38" w:author="Juan Sarmiento" w:date="2023-09-27T12:28:00Z">
        <w:r>
          <w:rPr>
            <w:noProof/>
          </w:rPr>
          <w:drawing>
            <wp:inline distT="0" distB="0" distL="0" distR="0" wp14:anchorId="42036F47" wp14:editId="18D0C5B2">
              <wp:extent cx="4738255" cy="2001982"/>
              <wp:effectExtent l="0" t="0" r="5715" b="0"/>
              <wp:docPr id="2127500246" name="Chart 2127500246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7"/>
                </a:graphicData>
              </a:graphic>
            </wp:inline>
          </w:drawing>
        </w:r>
      </w:ins>
    </w:p>
    <w:p w14:paraId="751B9224" w14:textId="77777777" w:rsidR="0081228A" w:rsidRDefault="0081228A" w:rsidP="0081228A">
      <w:pPr>
        <w:rPr>
          <w:ins w:id="39" w:author="Juan Sarmiento" w:date="2023-09-27T12:28:00Z"/>
          <w:sz w:val="24"/>
          <w:szCs w:val="24"/>
        </w:rPr>
      </w:pPr>
      <w:ins w:id="40" w:author="Juan Sarmiento" w:date="2023-09-27T12:28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2576" behindDoc="0" locked="0" layoutInCell="1" hidden="0" allowOverlap="1" wp14:anchorId="1C3CFB68" wp14:editId="6A859208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102293</wp:posOffset>
                  </wp:positionV>
                  <wp:extent cx="3512127" cy="228600"/>
                  <wp:effectExtent l="0" t="0" r="0" b="0"/>
                  <wp:wrapNone/>
                  <wp:docPr id="1919076189" name="Text Box 191907618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512127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2887B9" w14:textId="77777777" w:rsidR="0081228A" w:rsidRPr="00396332" w:rsidRDefault="0081228A" w:rsidP="0081228A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</w:pP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Fuentes: Análisis de ALTA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basado en datos de </w:t>
                              </w: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>OMT</w:t>
                              </w:r>
                            </w:p>
                            <w:p w14:paraId="64EB9859" w14:textId="77777777" w:rsidR="0081228A" w:rsidRPr="005A6FB2" w:rsidRDefault="0081228A" w:rsidP="0081228A">
                              <w:pPr>
                                <w:rPr>
                                  <w:sz w:val="16"/>
                                  <w:szCs w:val="16"/>
                                  <w:lang w:val="es-V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1C3CFB68" id="Text Box 1919076189" o:spid="_x0000_s1027" type="#_x0000_t202" style="position:absolute;margin-left:0;margin-top:8.05pt;width:276.5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" fillcolor="white [3201]" stroked="f" strokeweight=".5pt">
                  <v:textbox>
                    <w:txbxContent>
                      <w:p w14:paraId="232887B9" w14:textId="77777777" w:rsidR="0081228A" w:rsidRPr="00396332" w:rsidRDefault="0081228A" w:rsidP="0081228A">
                        <w:pP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</w:pP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Fuentes: Análisis de ALTA 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basado en datos de </w:t>
                        </w: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>OMT</w:t>
                        </w:r>
                      </w:p>
                      <w:p w14:paraId="64EB9859" w14:textId="77777777" w:rsidR="0081228A" w:rsidRPr="005A6FB2" w:rsidRDefault="0081228A" w:rsidP="0081228A">
                        <w:pPr>
                          <w:rPr>
                            <w:sz w:val="16"/>
                            <w:szCs w:val="16"/>
                            <w:lang w:val="es-VE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ins>
    </w:p>
    <w:p w14:paraId="3DC2574E" w14:textId="77777777" w:rsidR="0081228A" w:rsidRDefault="0081228A" w:rsidP="0081228A">
      <w:pPr>
        <w:rPr>
          <w:ins w:id="41" w:author="Juan Sarmiento" w:date="2023-09-27T12:28:00Z"/>
          <w:sz w:val="24"/>
          <w:szCs w:val="24"/>
        </w:rPr>
      </w:pPr>
    </w:p>
    <w:p w14:paraId="639C1849" w14:textId="77777777" w:rsidR="0081228A" w:rsidRDefault="0081228A" w:rsidP="0081228A">
      <w:pPr>
        <w:rPr>
          <w:ins w:id="42" w:author="Juan Sarmiento" w:date="2023-09-27T12:28:00Z"/>
          <w:b/>
          <w:sz w:val="24"/>
          <w:szCs w:val="24"/>
          <w:lang w:val="es-VE"/>
        </w:rPr>
      </w:pPr>
    </w:p>
    <w:p w14:paraId="765C9743" w14:textId="77777777" w:rsidR="0081228A" w:rsidRPr="005A6FB2" w:rsidRDefault="0081228A" w:rsidP="0081228A">
      <w:pPr>
        <w:rPr>
          <w:ins w:id="43" w:author="Juan Sarmiento" w:date="2023-09-27T12:28:00Z"/>
          <w:color w:val="000000"/>
          <w:sz w:val="24"/>
          <w:szCs w:val="24"/>
          <w:lang w:val="es-VE"/>
        </w:rPr>
      </w:pPr>
      <w:ins w:id="44" w:author="Juan Sarmiento" w:date="2023-09-27T12:28:00Z">
        <w:r>
          <w:rPr>
            <w:b/>
            <w:sz w:val="24"/>
            <w:szCs w:val="24"/>
            <w:lang w:val="es-VE"/>
          </w:rPr>
          <w:t>“Desde ALTA conmemoramos el Día Mundial del Turismo porque está completamente aviación y turismo están completamente relacionadas. Entre el 80% y 90% de los turistas de la región llegan por vía aérea y podemos afirmar que el pasaje aéreo es la gran puerta de entrada a los países. Mientras trabajemos para generar eficiencia y más y mejores opciones para los pasajeros, más turistas tendremos. Latinoamérica y el Cribe está llena de riqueza cultural, gastronómica y natural. Tenemos mucho para mostrar y mucho para crecer. Aviación está aquí para potenciar el turismo y generar conjuntamente más oportunidades de desarrollo socioeconómico para nuestros países y personas”,</w:t>
        </w:r>
        <w:r w:rsidRPr="00FA3582">
          <w:rPr>
            <w:color w:val="000000"/>
            <w:sz w:val="24"/>
            <w:szCs w:val="24"/>
            <w:lang w:val="es-VE"/>
          </w:rPr>
          <w:t xml:space="preserve"> </w:t>
        </w:r>
        <w:r w:rsidRPr="005A6FB2">
          <w:rPr>
            <w:sz w:val="24"/>
            <w:szCs w:val="24"/>
            <w:lang w:val="es-VE"/>
          </w:rPr>
          <w:t xml:space="preserve">señala José Ricardo Botelho, </w:t>
        </w:r>
        <w:proofErr w:type="gramStart"/>
        <w:r w:rsidRPr="005A6FB2">
          <w:rPr>
            <w:sz w:val="24"/>
            <w:szCs w:val="24"/>
            <w:lang w:val="es-VE"/>
          </w:rPr>
          <w:t>Director Ejecutivo</w:t>
        </w:r>
        <w:proofErr w:type="gramEnd"/>
        <w:r w:rsidRPr="005A6FB2">
          <w:rPr>
            <w:sz w:val="24"/>
            <w:szCs w:val="24"/>
            <w:lang w:val="es-VE"/>
          </w:rPr>
          <w:t xml:space="preserve"> y CEO de ALTA, quien destaca el valioso aporte de este sector, a propósito del Día Mundial del Turi</w:t>
        </w:r>
        <w:r>
          <w:rPr>
            <w:sz w:val="24"/>
            <w:szCs w:val="24"/>
            <w:lang w:val="es-VE"/>
          </w:rPr>
          <w:t>s</w:t>
        </w:r>
        <w:r w:rsidRPr="005A6FB2">
          <w:rPr>
            <w:sz w:val="24"/>
            <w:szCs w:val="24"/>
            <w:lang w:val="es-VE"/>
          </w:rPr>
          <w:t>mo.</w:t>
        </w:r>
      </w:ins>
    </w:p>
    <w:p w14:paraId="527FE072" w14:textId="77777777" w:rsidR="0081228A" w:rsidRDefault="0081228A">
      <w:pPr>
        <w:rPr>
          <w:ins w:id="45" w:author="Juan Sarmiento" w:date="2023-09-27T12:25:00Z"/>
          <w:b/>
          <w:sz w:val="24"/>
          <w:szCs w:val="24"/>
          <w:lang w:val="es-VE"/>
        </w:rPr>
      </w:pPr>
    </w:p>
    <w:p w14:paraId="68AD16E6" w14:textId="77777777" w:rsidR="0081228A" w:rsidRPr="005A6FB2" w:rsidRDefault="0081228A">
      <w:pPr>
        <w:rPr>
          <w:b/>
          <w:sz w:val="24"/>
          <w:szCs w:val="24"/>
          <w:lang w:val="es-VE"/>
        </w:rPr>
      </w:pPr>
    </w:p>
    <w:p w14:paraId="5419EEDD" w14:textId="53B65E1B" w:rsidR="00C2709A" w:rsidRPr="005A6FB2" w:rsidRDefault="00866994">
      <w:pPr>
        <w:rPr>
          <w:b/>
          <w:sz w:val="24"/>
          <w:szCs w:val="24"/>
          <w:lang w:val="es-VE"/>
        </w:rPr>
      </w:pPr>
      <w:del w:id="46" w:author="Juan Sarmiento" w:date="2023-09-27T12:29:00Z">
        <w:r w:rsidRPr="005A6FB2" w:rsidDel="00866994">
          <w:rPr>
            <w:b/>
            <w:sz w:val="24"/>
            <w:szCs w:val="24"/>
            <w:lang w:val="es-VE"/>
          </w:rPr>
          <w:delText>ALTA estima que la industria de los viajes y el turismo genere unos 17 millones de empleos en 2023</w:delText>
        </w:r>
      </w:del>
      <w:ins w:id="47" w:author="Juan Sarmiento" w:date="2023-09-27T12:29:00Z">
        <w:r>
          <w:rPr>
            <w:b/>
            <w:sz w:val="24"/>
            <w:szCs w:val="24"/>
            <w:lang w:val="es-VE"/>
          </w:rPr>
          <w:t>. La industria de Viajes y Turismo continúa siendo un motor de desarrollo.</w:t>
        </w:r>
      </w:ins>
    </w:p>
    <w:p w14:paraId="01ED7A57" w14:textId="77777777" w:rsidR="00C2709A" w:rsidRPr="005A6FB2" w:rsidRDefault="00C2709A">
      <w:pPr>
        <w:rPr>
          <w:sz w:val="24"/>
          <w:szCs w:val="24"/>
          <w:lang w:val="es-VE"/>
        </w:rPr>
      </w:pPr>
    </w:p>
    <w:p w14:paraId="0E7B1E38" w14:textId="47E6B53B" w:rsidR="00C2709A" w:rsidRPr="005A6FB2" w:rsidRDefault="00866994">
      <w:pPr>
        <w:rPr>
          <w:sz w:val="24"/>
          <w:szCs w:val="24"/>
          <w:lang w:val="es-VE"/>
        </w:rPr>
      </w:pPr>
      <w:del w:id="48" w:author="Juan Sarmiento" w:date="2023-09-27T12:25:00Z">
        <w:r w:rsidRPr="005A6FB2" w:rsidDel="0081228A">
          <w:rPr>
            <w:sz w:val="24"/>
            <w:szCs w:val="24"/>
            <w:lang w:val="es-VE"/>
          </w:rPr>
          <w:delText xml:space="preserve">Panamá- La Asociación Latinoamericana y del Caribe de Transporte Aéreo (ALTA) </w:delText>
        </w:r>
      </w:del>
      <w:del w:id="49" w:author="Juan Sarmiento" w:date="2023-09-27T12:29:00Z">
        <w:r w:rsidRPr="005A6FB2" w:rsidDel="00866994">
          <w:rPr>
            <w:sz w:val="24"/>
            <w:szCs w:val="24"/>
            <w:lang w:val="es-VE"/>
          </w:rPr>
          <w:delText xml:space="preserve">estima </w:delText>
        </w:r>
        <w:r w:rsidRPr="005A6FB2" w:rsidDel="00866994">
          <w:rPr>
            <w:sz w:val="24"/>
            <w:szCs w:val="24"/>
            <w:lang w:val="es-VE"/>
          </w:rPr>
          <w:delText>que</w:delText>
        </w:r>
      </w:del>
      <w:ins w:id="50" w:author="Juan Sarmiento" w:date="2023-09-27T12:30:00Z">
        <w:r>
          <w:rPr>
            <w:sz w:val="24"/>
            <w:szCs w:val="24"/>
            <w:lang w:val="es-VE"/>
          </w:rPr>
          <w:t>De acuerdo con estimaciones del WTTC,</w:t>
        </w:r>
      </w:ins>
      <w:r w:rsidRPr="005A6FB2">
        <w:rPr>
          <w:sz w:val="24"/>
          <w:szCs w:val="24"/>
          <w:lang w:val="es-VE"/>
        </w:rPr>
        <w:t xml:space="preserve"> </w:t>
      </w:r>
      <w:r w:rsidRPr="005A6FB2">
        <w:rPr>
          <w:sz w:val="24"/>
          <w:szCs w:val="24"/>
          <w:lang w:val="es-VE"/>
        </w:rPr>
        <w:t xml:space="preserve">este 2023 la industria de viajes y turismo </w:t>
      </w:r>
      <w:del w:id="51" w:author="Juan Sarmiento" w:date="2023-09-27T12:30:00Z">
        <w:r w:rsidRPr="005A6FB2" w:rsidDel="00866994">
          <w:rPr>
            <w:sz w:val="24"/>
            <w:szCs w:val="24"/>
            <w:lang w:val="es-VE"/>
          </w:rPr>
          <w:delText xml:space="preserve">en la región </w:delText>
        </w:r>
      </w:del>
      <w:r w:rsidRPr="005A6FB2">
        <w:rPr>
          <w:sz w:val="24"/>
          <w:szCs w:val="24"/>
          <w:lang w:val="es-VE"/>
        </w:rPr>
        <w:t>gener</w:t>
      </w:r>
      <w:ins w:id="52" w:author="Juan Sarmiento" w:date="2023-09-27T12:30:00Z">
        <w:r>
          <w:rPr>
            <w:sz w:val="24"/>
            <w:szCs w:val="24"/>
            <w:lang w:val="es-VE"/>
          </w:rPr>
          <w:t>ara</w:t>
        </w:r>
      </w:ins>
      <w:del w:id="53" w:author="Juan Sarmiento" w:date="2023-09-27T12:30:00Z">
        <w:r w:rsidRPr="005A6FB2" w:rsidDel="00866994">
          <w:rPr>
            <w:sz w:val="24"/>
            <w:szCs w:val="24"/>
            <w:lang w:val="es-VE"/>
          </w:rPr>
          <w:delText>e</w:delText>
        </w:r>
      </w:del>
      <w:r w:rsidRPr="005A6FB2">
        <w:rPr>
          <w:sz w:val="24"/>
          <w:szCs w:val="24"/>
          <w:lang w:val="es-VE"/>
        </w:rPr>
        <w:t xml:space="preserve"> cerca de 17 millones de empleos en la región, lo que representa 7.9% del total de empleos (+0.1% vs 2019) incluyendo empleos directos, indirectos e inducidos.</w:t>
      </w:r>
    </w:p>
    <w:p w14:paraId="2443102E" w14:textId="77777777" w:rsidR="00C2709A" w:rsidRPr="005A6FB2" w:rsidRDefault="00C2709A">
      <w:pPr>
        <w:rPr>
          <w:sz w:val="24"/>
          <w:szCs w:val="24"/>
          <w:lang w:val="es-VE"/>
        </w:rPr>
      </w:pPr>
    </w:p>
    <w:p w14:paraId="3BD08A48" w14:textId="66746FC0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 xml:space="preserve">Así mismo, los datos </w:t>
      </w:r>
      <w:del w:id="54" w:author="Juan Sarmiento" w:date="2023-09-27T12:31:00Z">
        <w:r w:rsidRPr="005A6FB2" w:rsidDel="00866994">
          <w:rPr>
            <w:sz w:val="24"/>
            <w:szCs w:val="24"/>
            <w:lang w:val="es-VE"/>
          </w:rPr>
          <w:delText>de la asocia</w:delText>
        </w:r>
        <w:r w:rsidRPr="005A6FB2" w:rsidDel="00866994">
          <w:rPr>
            <w:sz w:val="24"/>
            <w:szCs w:val="24"/>
            <w:lang w:val="es-VE"/>
          </w:rPr>
          <w:delText>ción</w:delText>
        </w:r>
      </w:del>
      <w:ins w:id="55" w:author="Juan Sarmiento" w:date="2023-09-27T12:31:00Z">
        <w:r>
          <w:rPr>
            <w:sz w:val="24"/>
            <w:szCs w:val="24"/>
            <w:lang w:val="es-VE"/>
          </w:rPr>
          <w:t>de WTTC</w:t>
        </w:r>
      </w:ins>
      <w:r w:rsidRPr="005A6FB2">
        <w:rPr>
          <w:sz w:val="24"/>
          <w:szCs w:val="24"/>
          <w:lang w:val="es-VE"/>
        </w:rPr>
        <w:t xml:space="preserve"> señalan que esta industria podría aportar a la región de América Latina y El Caribe (LAC) una contribución total de 319 mil millones de USD, lo que representaría el 7.9% del total del PIB (+1.2% vs 2019).</w:t>
      </w:r>
    </w:p>
    <w:p w14:paraId="4A55B044" w14:textId="77777777" w:rsidR="00C2709A" w:rsidRPr="005A6FB2" w:rsidRDefault="00C2709A">
      <w:pPr>
        <w:rPr>
          <w:sz w:val="24"/>
          <w:szCs w:val="24"/>
          <w:lang w:val="es-VE"/>
        </w:rPr>
      </w:pPr>
    </w:p>
    <w:p w14:paraId="58F252BD" w14:textId="77777777" w:rsidR="005A6FB2" w:rsidRDefault="00866994">
      <w:pPr>
        <w:rPr>
          <w:color w:val="000000"/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>E</w:t>
      </w:r>
      <w:r w:rsidR="005A6FB2">
        <w:rPr>
          <w:sz w:val="24"/>
          <w:szCs w:val="24"/>
          <w:lang w:val="es-VE"/>
        </w:rPr>
        <w:t>n e</w:t>
      </w:r>
      <w:r w:rsidRPr="005A6FB2">
        <w:rPr>
          <w:sz w:val="24"/>
          <w:szCs w:val="24"/>
          <w:lang w:val="es-VE"/>
        </w:rPr>
        <w:t>l Caribe</w:t>
      </w:r>
      <w:r w:rsidR="005A6FB2">
        <w:rPr>
          <w:sz w:val="24"/>
          <w:szCs w:val="24"/>
          <w:lang w:val="es-VE"/>
        </w:rPr>
        <w:t xml:space="preserve">, el turismo es la industria </w:t>
      </w:r>
      <w:r w:rsidRPr="005A6FB2">
        <w:rPr>
          <w:sz w:val="24"/>
          <w:szCs w:val="24"/>
          <w:lang w:val="es-VE"/>
        </w:rPr>
        <w:t xml:space="preserve">que </w:t>
      </w:r>
      <w:r w:rsidRPr="005A6FB2">
        <w:rPr>
          <w:sz w:val="24"/>
          <w:szCs w:val="24"/>
          <w:lang w:val="es-VE"/>
        </w:rPr>
        <w:t xml:space="preserve">más aporta al PIB con 11.5% y una participación de 15.2% </w:t>
      </w:r>
      <w:r w:rsidR="005A6FB2">
        <w:rPr>
          <w:sz w:val="24"/>
          <w:szCs w:val="24"/>
          <w:lang w:val="es-VE"/>
        </w:rPr>
        <w:t>al</w:t>
      </w:r>
      <w:r w:rsidRPr="005A6FB2">
        <w:rPr>
          <w:color w:val="000000"/>
          <w:sz w:val="24"/>
          <w:szCs w:val="24"/>
          <w:lang w:val="es-VE"/>
        </w:rPr>
        <w:t xml:space="preserve"> total de empleos</w:t>
      </w:r>
      <w:r w:rsidR="005A6FB2">
        <w:rPr>
          <w:color w:val="000000"/>
          <w:sz w:val="24"/>
          <w:szCs w:val="24"/>
          <w:lang w:val="es-VE"/>
        </w:rPr>
        <w:t>.</w:t>
      </w:r>
    </w:p>
    <w:p w14:paraId="4ED750CC" w14:textId="77777777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 xml:space="preserve"> </w:t>
      </w:r>
    </w:p>
    <w:p w14:paraId="354376C8" w14:textId="0019F48C" w:rsidR="00C2709A" w:rsidRPr="005A6FB2" w:rsidDel="0081228A" w:rsidRDefault="00866994">
      <w:pPr>
        <w:rPr>
          <w:del w:id="56" w:author="Juan Sarmiento" w:date="2023-09-27T12:25:00Z"/>
          <w:b/>
          <w:sz w:val="24"/>
          <w:szCs w:val="24"/>
          <w:lang w:val="es-VE"/>
        </w:rPr>
      </w:pPr>
      <w:del w:id="57" w:author="Juan Sarmiento" w:date="2023-09-27T12:25:00Z">
        <w:r w:rsidRPr="005A6FB2" w:rsidDel="0081228A">
          <w:rPr>
            <w:b/>
            <w:sz w:val="24"/>
            <w:szCs w:val="24"/>
            <w:lang w:val="es-VE"/>
          </w:rPr>
          <w:delText xml:space="preserve">La región </w:delText>
        </w:r>
        <w:r w:rsidR="005A6FB2" w:rsidDel="0081228A">
          <w:rPr>
            <w:b/>
            <w:sz w:val="24"/>
            <w:szCs w:val="24"/>
            <w:lang w:val="es-VE"/>
          </w:rPr>
          <w:delText>avanza en su</w:delText>
        </w:r>
        <w:r w:rsidRPr="005A6FB2" w:rsidDel="0081228A">
          <w:rPr>
            <w:b/>
            <w:sz w:val="24"/>
            <w:szCs w:val="24"/>
            <w:lang w:val="es-VE"/>
          </w:rPr>
          <w:delText xml:space="preserve"> recupera</w:delText>
        </w:r>
        <w:r w:rsidR="005A6FB2" w:rsidDel="0081228A">
          <w:rPr>
            <w:b/>
            <w:sz w:val="24"/>
            <w:szCs w:val="24"/>
            <w:lang w:val="es-VE"/>
          </w:rPr>
          <w:delText>ción</w:delText>
        </w:r>
      </w:del>
    </w:p>
    <w:p w14:paraId="783093DF" w14:textId="7EC73DE0" w:rsidR="00C2709A" w:rsidRPr="005A6FB2" w:rsidDel="0081228A" w:rsidRDefault="00C2709A">
      <w:pPr>
        <w:rPr>
          <w:del w:id="58" w:author="Juan Sarmiento" w:date="2023-09-27T12:25:00Z"/>
          <w:sz w:val="24"/>
          <w:szCs w:val="24"/>
          <w:lang w:val="es-VE"/>
        </w:rPr>
      </w:pPr>
    </w:p>
    <w:p w14:paraId="7AA5BB35" w14:textId="3A33CFC0" w:rsidR="00C2709A" w:rsidRPr="005A6FB2" w:rsidDel="0081228A" w:rsidRDefault="005A6FB2">
      <w:pPr>
        <w:rPr>
          <w:del w:id="59" w:author="Juan Sarmiento" w:date="2023-09-27T12:25:00Z"/>
          <w:sz w:val="24"/>
          <w:szCs w:val="24"/>
          <w:lang w:val="es-VE"/>
        </w:rPr>
      </w:pPr>
      <w:del w:id="60" w:author="Juan Sarmiento" w:date="2023-09-27T12:25:00Z">
        <w:r w:rsidDel="0081228A">
          <w:rPr>
            <w:sz w:val="24"/>
            <w:szCs w:val="24"/>
            <w:lang w:val="es-VE"/>
          </w:rPr>
          <w:delText>Latinoamérica y el Caribe (</w:delText>
        </w:r>
        <w:r w:rsidRPr="005A6FB2" w:rsidDel="0081228A">
          <w:rPr>
            <w:sz w:val="24"/>
            <w:szCs w:val="24"/>
            <w:lang w:val="es-VE"/>
          </w:rPr>
          <w:delText>LAC</w:delText>
        </w:r>
        <w:r w:rsidDel="0081228A">
          <w:rPr>
            <w:sz w:val="24"/>
            <w:szCs w:val="24"/>
            <w:lang w:val="es-VE"/>
          </w:rPr>
          <w:delText>)</w:delText>
        </w:r>
        <w:r w:rsidRPr="005A6FB2" w:rsidDel="0081228A">
          <w:rPr>
            <w:sz w:val="24"/>
            <w:szCs w:val="24"/>
            <w:lang w:val="es-VE"/>
          </w:rPr>
          <w:delText xml:space="preserve"> ha mostrado una importante recuperación después de la pandemia. </w:delText>
        </w:r>
        <w:r w:rsidDel="0081228A">
          <w:rPr>
            <w:sz w:val="24"/>
            <w:szCs w:val="24"/>
            <w:lang w:val="es-VE"/>
          </w:rPr>
          <w:delText>E</w:delText>
        </w:r>
        <w:r w:rsidRPr="005A6FB2" w:rsidDel="0081228A">
          <w:rPr>
            <w:sz w:val="24"/>
            <w:szCs w:val="24"/>
            <w:lang w:val="es-VE"/>
          </w:rPr>
          <w:delText xml:space="preserve">n 2022, 91.9 millones de turistas internacionales visitaron la región, lo que se traduce en </w:delText>
        </w:r>
        <w:r w:rsidDel="0081228A">
          <w:rPr>
            <w:sz w:val="24"/>
            <w:szCs w:val="24"/>
            <w:lang w:val="es-VE"/>
          </w:rPr>
          <w:delText>un</w:delText>
        </w:r>
        <w:r w:rsidRPr="005A6FB2" w:rsidDel="0081228A">
          <w:rPr>
            <w:sz w:val="24"/>
            <w:szCs w:val="24"/>
            <w:lang w:val="es-VE"/>
          </w:rPr>
          <w:delText xml:space="preserve"> 78% </w:delText>
        </w:r>
        <w:r w:rsidDel="0081228A">
          <w:rPr>
            <w:sz w:val="24"/>
            <w:szCs w:val="24"/>
            <w:lang w:val="es-VE"/>
          </w:rPr>
          <w:delText>de los niveles</w:delText>
        </w:r>
        <w:r w:rsidRPr="005A6FB2" w:rsidDel="0081228A">
          <w:rPr>
            <w:sz w:val="24"/>
            <w:szCs w:val="24"/>
            <w:lang w:val="es-VE"/>
          </w:rPr>
          <w:delText xml:space="preserve"> </w:delText>
        </w:r>
        <w:r w:rsidDel="0081228A">
          <w:rPr>
            <w:sz w:val="24"/>
            <w:szCs w:val="24"/>
            <w:lang w:val="es-VE"/>
          </w:rPr>
          <w:delText>de</w:delText>
        </w:r>
        <w:r w:rsidRPr="005A6FB2" w:rsidDel="0081228A">
          <w:rPr>
            <w:sz w:val="24"/>
            <w:szCs w:val="24"/>
            <w:lang w:val="es-VE"/>
          </w:rPr>
          <w:delText xml:space="preserve"> 2019. </w:delText>
        </w:r>
        <w:r w:rsidDel="0081228A">
          <w:rPr>
            <w:noProof/>
          </w:rPr>
          <w:drawing>
            <wp:anchor distT="0" distB="0" distL="114300" distR="114300" simplePos="0" relativeHeight="251658240" behindDoc="0" locked="0" layoutInCell="1" hidden="0" allowOverlap="1" wp14:anchorId="6E6CF13A" wp14:editId="75DC25EA">
              <wp:simplePos x="0" y="0"/>
              <wp:positionH relativeFrom="column">
                <wp:posOffset>1</wp:posOffset>
              </wp:positionH>
              <wp:positionV relativeFrom="paragraph">
                <wp:posOffset>741680</wp:posOffset>
              </wp:positionV>
              <wp:extent cx="3067050" cy="1682750"/>
              <wp:effectExtent l="0" t="0" r="0" b="0"/>
              <wp:wrapSquare wrapText="bothSides" distT="0" distB="0" distL="114300" distR="114300"/>
              <wp:docPr id="1" name="Chart 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8"/>
                </a:graphicData>
              </a:graphic>
            </wp:anchor>
          </w:drawing>
        </w:r>
        <w:r w:rsidDel="0081228A">
          <w:rPr>
            <w:noProof/>
          </w:rPr>
          <w:drawing>
            <wp:anchor distT="0" distB="0" distL="114300" distR="114300" simplePos="0" relativeHeight="251659264" behindDoc="0" locked="0" layoutInCell="1" hidden="0" allowOverlap="1" wp14:anchorId="15F20C03" wp14:editId="7A339230">
              <wp:simplePos x="0" y="0"/>
              <wp:positionH relativeFrom="column">
                <wp:posOffset>3263900</wp:posOffset>
              </wp:positionH>
              <wp:positionV relativeFrom="paragraph">
                <wp:posOffset>722630</wp:posOffset>
              </wp:positionV>
              <wp:extent cx="2965450" cy="1625600"/>
              <wp:effectExtent l="0" t="0" r="6350" b="0"/>
              <wp:wrapSquare wrapText="bothSides" distT="0" distB="0" distL="114300" distR="114300"/>
              <wp:docPr id="3" name="Chart 3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9"/>
                </a:graphicData>
              </a:graphic>
            </wp:anchor>
          </w:drawing>
        </w:r>
      </w:del>
    </w:p>
    <w:p w14:paraId="430BE15B" w14:textId="70B5BDE8" w:rsidR="00C2709A" w:rsidRPr="005A6FB2" w:rsidDel="0081228A" w:rsidRDefault="00C2709A">
      <w:pPr>
        <w:rPr>
          <w:del w:id="61" w:author="Juan Sarmiento" w:date="2023-09-27T12:25:00Z"/>
          <w:sz w:val="24"/>
          <w:szCs w:val="24"/>
          <w:lang w:val="es-VE"/>
        </w:rPr>
      </w:pPr>
    </w:p>
    <w:p w14:paraId="39D138B3" w14:textId="0743603A" w:rsidR="00C2709A" w:rsidRPr="005A6FB2" w:rsidDel="0081228A" w:rsidRDefault="00C2709A">
      <w:pPr>
        <w:rPr>
          <w:del w:id="62" w:author="Juan Sarmiento" w:date="2023-09-27T12:25:00Z"/>
          <w:sz w:val="24"/>
          <w:szCs w:val="24"/>
          <w:lang w:val="es-VE"/>
        </w:rPr>
      </w:pPr>
    </w:p>
    <w:p w14:paraId="2A79004C" w14:textId="2E749854" w:rsidR="00C2709A" w:rsidRPr="005A6FB2" w:rsidDel="0081228A" w:rsidRDefault="00866994" w:rsidP="0081228A">
      <w:pPr>
        <w:rPr>
          <w:del w:id="63" w:author="Juan Sarmiento" w:date="2023-09-27T12:25:00Z"/>
          <w:sz w:val="24"/>
          <w:szCs w:val="24"/>
          <w:lang w:val="es-V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893B6E3" wp14:editId="6227C4F5">
                <wp:simplePos x="0" y="0"/>
                <wp:positionH relativeFrom="column">
                  <wp:posOffset>0</wp:posOffset>
                </wp:positionH>
                <wp:positionV relativeFrom="page">
                  <wp:posOffset>9136380</wp:posOffset>
                </wp:positionV>
                <wp:extent cx="3968750" cy="25590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8750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8772D7" w14:textId="77777777" w:rsidR="00D413C3" w:rsidRPr="00396332" w:rsidRDefault="00866994" w:rsidP="00396332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396332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Fuentes: Análisis de ALTA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basado en datos de </w:t>
                            </w:r>
                            <w:r w:rsidRPr="00396332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WTTC, OMT</w:t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 y </w:t>
                            </w:r>
                            <w:r w:rsidRPr="00396332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Gobiernos </w:t>
                            </w:r>
                          </w:p>
                          <w:p w14:paraId="7B4D7B44" w14:textId="77777777" w:rsidR="00D413C3" w:rsidRPr="005A6FB2" w:rsidRDefault="00D413C3">
                            <w:pPr>
                              <w:rPr>
                                <w:sz w:val="16"/>
                                <w:szCs w:val="16"/>
                                <w:lang w:val="es-V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3B6E3" id="Text Box 10" o:spid="_x0000_s1028" type="#_x0000_t202" style="position:absolute;margin-left:0;margin-top:719.4pt;width:312.5pt;height:2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" fillcolor="white [3201]" stroked="f" strokeweight=".5pt">
                <v:textbox>
                  <w:txbxContent>
                    <w:p w14:paraId="248772D7" w14:textId="77777777" w:rsidR="00D413C3" w:rsidRPr="00396332" w:rsidRDefault="00866994" w:rsidP="00396332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</w:pPr>
                      <w:r w:rsidRPr="00396332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Fuentes: Análisis de ALTA </w:t>
                      </w: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basado en datos de </w:t>
                      </w:r>
                      <w:r w:rsidRPr="00396332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WTTC, OMT</w:t>
                      </w: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 y </w:t>
                      </w:r>
                      <w:r w:rsidRPr="00396332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Gobiernos </w:t>
                      </w:r>
                    </w:p>
                    <w:p w14:paraId="7B4D7B44" w14:textId="77777777" w:rsidR="00D413C3" w:rsidRPr="005A6FB2" w:rsidRDefault="00D413C3">
                      <w:pPr>
                        <w:rPr>
                          <w:sz w:val="16"/>
                          <w:szCs w:val="16"/>
                          <w:lang w:val="es-VE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0D3235" w14:textId="2E514D07" w:rsidR="00C2709A" w:rsidRPr="005A6FB2" w:rsidDel="0081228A" w:rsidRDefault="00866994" w:rsidP="0081228A">
      <w:pPr>
        <w:rPr>
          <w:del w:id="64" w:author="Juan Sarmiento" w:date="2023-09-27T12:25:00Z"/>
          <w:sz w:val="24"/>
          <w:szCs w:val="24"/>
          <w:lang w:val="es-VE"/>
        </w:rPr>
      </w:pPr>
      <w:del w:id="65" w:author="Juan Sarmiento" w:date="2023-09-27T12:25:00Z">
        <w:r w:rsidRPr="005A6FB2" w:rsidDel="0081228A">
          <w:rPr>
            <w:lang w:val="es-VE"/>
          </w:rPr>
          <w:delText xml:space="preserve"> </w:delText>
        </w:r>
      </w:del>
    </w:p>
    <w:p w14:paraId="384C09D9" w14:textId="35D3C4E7" w:rsidR="00C2709A" w:rsidRPr="005A6FB2" w:rsidRDefault="005A6FB2" w:rsidP="0081228A">
      <w:pPr>
        <w:rPr>
          <w:sz w:val="24"/>
          <w:szCs w:val="24"/>
          <w:lang w:val="es-VE"/>
        </w:rPr>
      </w:pPr>
      <w:del w:id="66" w:author="Juan Sarmiento" w:date="2023-09-27T12:25:00Z">
        <w:r w:rsidDel="0081228A">
          <w:rPr>
            <w:sz w:val="24"/>
            <w:szCs w:val="24"/>
            <w:lang w:val="es-VE"/>
          </w:rPr>
          <w:delText>El trayecto continúa.</w:delText>
        </w:r>
        <w:r w:rsidRPr="005A6FB2" w:rsidDel="0081228A">
          <w:rPr>
            <w:sz w:val="24"/>
            <w:szCs w:val="24"/>
            <w:lang w:val="es-VE"/>
          </w:rPr>
          <w:delText xml:space="preserve"> En lo que respecta a este año, para los meses de enero a julio se registraron en total 65 millones de turistas, 8% por debajo de 2019. La subregión con mayor recuperación (ene-jul 23) fue Centroamérica, excediendo en 2% los niveles prepandemia. El Caribe se encuentra por debajo en 5% y Sudamérica 13% por debajo.</w:delText>
        </w:r>
      </w:del>
    </w:p>
    <w:p w14:paraId="5822A791" w14:textId="77777777" w:rsidR="00C2709A" w:rsidRPr="005A6FB2" w:rsidRDefault="00C2709A">
      <w:pPr>
        <w:rPr>
          <w:sz w:val="24"/>
          <w:szCs w:val="24"/>
          <w:lang w:val="es-VE"/>
        </w:rPr>
      </w:pPr>
    </w:p>
    <w:p w14:paraId="4483486E" w14:textId="00DCE0AE" w:rsidR="00C2709A" w:rsidRPr="005A6FB2" w:rsidDel="0081228A" w:rsidRDefault="00866994">
      <w:pPr>
        <w:rPr>
          <w:del w:id="67" w:author="Juan Sarmiento" w:date="2023-09-27T12:25:00Z"/>
          <w:b/>
          <w:sz w:val="24"/>
          <w:szCs w:val="24"/>
          <w:lang w:val="es-VE"/>
        </w:rPr>
      </w:pPr>
      <w:del w:id="68" w:author="Juan Sarmiento" w:date="2023-09-27T12:25:00Z">
        <w:r w:rsidRPr="005A6FB2" w:rsidDel="0081228A">
          <w:rPr>
            <w:b/>
            <w:sz w:val="24"/>
            <w:szCs w:val="24"/>
            <w:lang w:val="es-VE"/>
          </w:rPr>
          <w:delText xml:space="preserve">Colombia, </w:delText>
        </w:r>
        <w:r w:rsidR="005A6FB2" w:rsidDel="0081228A">
          <w:rPr>
            <w:b/>
            <w:sz w:val="24"/>
            <w:szCs w:val="24"/>
            <w:lang w:val="es-VE"/>
          </w:rPr>
          <w:delText xml:space="preserve">República </w:delText>
        </w:r>
        <w:r w:rsidRPr="005A6FB2" w:rsidDel="0081228A">
          <w:rPr>
            <w:b/>
            <w:sz w:val="24"/>
            <w:szCs w:val="24"/>
            <w:lang w:val="es-VE"/>
          </w:rPr>
          <w:delText>Dominicana y Aruba con mejor desempeño</w:delText>
        </w:r>
      </w:del>
    </w:p>
    <w:p w14:paraId="7B7E8D3B" w14:textId="0A658704" w:rsidR="00C2709A" w:rsidRPr="005A6FB2" w:rsidDel="0081228A" w:rsidRDefault="00866994">
      <w:pPr>
        <w:rPr>
          <w:del w:id="69" w:author="Juan Sarmiento" w:date="2023-09-27T12:28:00Z"/>
          <w:sz w:val="24"/>
          <w:szCs w:val="24"/>
          <w:lang w:val="es-VE"/>
        </w:rPr>
      </w:pPr>
      <w:del w:id="70" w:author="Juan Sarmiento" w:date="2023-09-27T12:28:00Z">
        <w:r w:rsidRPr="005A6FB2" w:rsidDel="0081228A">
          <w:rPr>
            <w:sz w:val="24"/>
            <w:szCs w:val="24"/>
            <w:lang w:val="es-VE"/>
          </w:rPr>
          <w:delText>Los países que han experimentado la mayor recuperación frente a 2019 son Colombia y República Dominicana y Aruba con 23%, 17% y 17%, resp</w:delText>
        </w:r>
        <w:r w:rsidRPr="005A6FB2" w:rsidDel="0081228A">
          <w:rPr>
            <w:sz w:val="24"/>
            <w:szCs w:val="24"/>
            <w:lang w:val="es-VE"/>
          </w:rPr>
          <w:delText>ectivamente, por encima de los meses de enero-julio de 2019.</w:delText>
        </w:r>
      </w:del>
    </w:p>
    <w:p w14:paraId="40FD1881" w14:textId="6C06C91E" w:rsidR="00C2709A" w:rsidDel="0081228A" w:rsidRDefault="00866994">
      <w:pPr>
        <w:jc w:val="center"/>
        <w:rPr>
          <w:del w:id="71" w:author="Juan Sarmiento" w:date="2023-09-27T12:28:00Z"/>
          <w:sz w:val="24"/>
          <w:szCs w:val="24"/>
        </w:rPr>
      </w:pPr>
      <w:del w:id="72" w:author="Juan Sarmiento" w:date="2023-09-27T12:28:00Z">
        <w:r w:rsidDel="0081228A">
          <w:rPr>
            <w:noProof/>
          </w:rPr>
          <w:drawing>
            <wp:inline distT="0" distB="0" distL="0" distR="0" wp14:anchorId="40EA21DA" wp14:editId="712176CB">
              <wp:extent cx="4675910" cy="2251364"/>
              <wp:effectExtent l="0" t="0" r="0" b="0"/>
              <wp:docPr id="7" name="Chart 7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0"/>
                </a:graphicData>
              </a:graphic>
            </wp:inline>
          </w:drawing>
        </w:r>
        <w:r w:rsidDel="0081228A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hidden="0" allowOverlap="1" wp14:anchorId="2BD73858" wp14:editId="7A993F56">
                  <wp:simplePos x="0" y="0"/>
                  <wp:positionH relativeFrom="column">
                    <wp:posOffset>41276</wp:posOffset>
                  </wp:positionH>
                  <wp:positionV relativeFrom="paragraph">
                    <wp:posOffset>2422756</wp:posOffset>
                  </wp:positionV>
                  <wp:extent cx="3512127" cy="228600"/>
                  <wp:effectExtent l="0" t="0" r="0" b="0"/>
                  <wp:wrapNone/>
                  <wp:docPr id="8" name="Text Box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512127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40CEF1" w14:textId="77777777" w:rsidR="00D413C3" w:rsidRPr="00396332" w:rsidRDefault="00866994" w:rsidP="00396332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</w:pP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Fuentes: Análisis de ALTA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basado en datos de </w:t>
                              </w: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>OMT</w:t>
                              </w:r>
                            </w:p>
                            <w:p w14:paraId="2A4FC560" w14:textId="77777777" w:rsidR="00D413C3" w:rsidRPr="005A6FB2" w:rsidRDefault="00D413C3" w:rsidP="00396332">
                              <w:pPr>
                                <w:rPr>
                                  <w:sz w:val="16"/>
                                  <w:szCs w:val="16"/>
                                  <w:lang w:val="es-V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BD73858" id="Text Box 8" o:spid="_x0000_s1029" type="#_x0000_t202" style="position:absolute;left:0;text-align:left;margin-left:3.25pt;margin-top:190.75pt;width:276.5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" fillcolor="white [3201]" stroked="f" strokeweight=".5pt">
                  <v:textbox>
                    <w:txbxContent>
                      <w:p w14:paraId="2D40CEF1" w14:textId="77777777" w:rsidR="00D413C3" w:rsidRPr="00396332" w:rsidRDefault="00866994" w:rsidP="00396332">
                        <w:pP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</w:pP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Fuentes: Análisis de ALTA 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basado en datos de </w:t>
                        </w: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>OMT</w:t>
                        </w:r>
                      </w:p>
                      <w:p w14:paraId="2A4FC560" w14:textId="77777777" w:rsidR="00D413C3" w:rsidRPr="005A6FB2" w:rsidRDefault="00D413C3" w:rsidP="00396332">
                        <w:pPr>
                          <w:rPr>
                            <w:sz w:val="16"/>
                            <w:szCs w:val="16"/>
                            <w:lang w:val="es-VE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del>
    </w:p>
    <w:p w14:paraId="300012AF" w14:textId="5B5E878C" w:rsidR="005A6FB2" w:rsidDel="0081228A" w:rsidRDefault="005A6FB2">
      <w:pPr>
        <w:rPr>
          <w:del w:id="73" w:author="Juan Sarmiento" w:date="2023-09-27T12:28:00Z"/>
          <w:sz w:val="24"/>
          <w:szCs w:val="24"/>
          <w:lang w:val="es-VE"/>
        </w:rPr>
      </w:pPr>
    </w:p>
    <w:p w14:paraId="6F22AC91" w14:textId="5482E53E" w:rsidR="005A6FB2" w:rsidDel="0081228A" w:rsidRDefault="005A6FB2">
      <w:pPr>
        <w:rPr>
          <w:del w:id="74" w:author="Juan Sarmiento" w:date="2023-09-27T12:28:00Z"/>
          <w:sz w:val="24"/>
          <w:szCs w:val="24"/>
          <w:lang w:val="es-VE"/>
        </w:rPr>
      </w:pPr>
    </w:p>
    <w:p w14:paraId="4C4CD6B1" w14:textId="3CA15E21" w:rsidR="005A6FB2" w:rsidDel="0081228A" w:rsidRDefault="005A6FB2">
      <w:pPr>
        <w:rPr>
          <w:del w:id="75" w:author="Juan Sarmiento" w:date="2023-09-27T12:28:00Z"/>
          <w:sz w:val="24"/>
          <w:szCs w:val="24"/>
          <w:lang w:val="es-VE"/>
        </w:rPr>
      </w:pPr>
    </w:p>
    <w:p w14:paraId="1C7C420E" w14:textId="15A4F354" w:rsidR="005A6FB2" w:rsidDel="0081228A" w:rsidRDefault="005A6FB2">
      <w:pPr>
        <w:rPr>
          <w:del w:id="76" w:author="Juan Sarmiento" w:date="2023-09-27T12:28:00Z"/>
          <w:sz w:val="24"/>
          <w:szCs w:val="24"/>
          <w:lang w:val="es-VE"/>
        </w:rPr>
      </w:pPr>
    </w:p>
    <w:p w14:paraId="054D6261" w14:textId="2CC168A5" w:rsidR="00C2709A" w:rsidRPr="005A6FB2" w:rsidDel="0081228A" w:rsidRDefault="00866994">
      <w:pPr>
        <w:rPr>
          <w:del w:id="77" w:author="Juan Sarmiento" w:date="2023-09-27T12:28:00Z"/>
          <w:sz w:val="24"/>
          <w:szCs w:val="24"/>
          <w:lang w:val="es-VE"/>
        </w:rPr>
      </w:pPr>
      <w:del w:id="78" w:author="Juan Sarmiento" w:date="2023-09-27T12:28:00Z">
        <w:r w:rsidRPr="005A6FB2" w:rsidDel="0081228A">
          <w:rPr>
            <w:sz w:val="24"/>
            <w:szCs w:val="24"/>
            <w:lang w:val="es-VE"/>
          </w:rPr>
          <w:delText xml:space="preserve">A inicios de 2023, los tres principales </w:delText>
        </w:r>
        <w:r w:rsidR="005A6FB2" w:rsidDel="0081228A">
          <w:rPr>
            <w:sz w:val="24"/>
            <w:szCs w:val="24"/>
            <w:lang w:val="es-VE"/>
          </w:rPr>
          <w:delText>países emisores de turistas</w:delText>
        </w:r>
        <w:r w:rsidRPr="005A6FB2" w:rsidDel="0081228A">
          <w:rPr>
            <w:sz w:val="24"/>
            <w:szCs w:val="24"/>
            <w:lang w:val="es-VE"/>
          </w:rPr>
          <w:delText xml:space="preserve"> </w:delText>
        </w:r>
        <w:r w:rsidR="005A6FB2" w:rsidDel="0081228A">
          <w:rPr>
            <w:sz w:val="24"/>
            <w:szCs w:val="24"/>
            <w:lang w:val="es-VE"/>
          </w:rPr>
          <w:delText>hacia</w:delText>
        </w:r>
        <w:r w:rsidRPr="005A6FB2" w:rsidDel="0081228A">
          <w:rPr>
            <w:sz w:val="24"/>
            <w:szCs w:val="24"/>
            <w:lang w:val="es-VE"/>
          </w:rPr>
          <w:delText xml:space="preserve"> Latinoamérica y el Caribe </w:delText>
        </w:r>
        <w:r w:rsidR="005A6FB2" w:rsidDel="0081228A">
          <w:rPr>
            <w:sz w:val="24"/>
            <w:szCs w:val="24"/>
            <w:lang w:val="es-VE"/>
          </w:rPr>
          <w:delText>fueron</w:delText>
        </w:r>
        <w:r w:rsidRPr="005A6FB2" w:rsidDel="0081228A">
          <w:rPr>
            <w:sz w:val="24"/>
            <w:szCs w:val="24"/>
            <w:lang w:val="es-VE"/>
          </w:rPr>
          <w:delText xml:space="preserve"> Estados Unidos, Canadá y el Reino Unido. En este sentido, el mercado emisor más grande </w:delText>
        </w:r>
        <w:r w:rsidR="005A6FB2" w:rsidDel="0081228A">
          <w:rPr>
            <w:sz w:val="24"/>
            <w:szCs w:val="24"/>
            <w:lang w:val="es-VE"/>
          </w:rPr>
          <w:delText>ha sido</w:delText>
        </w:r>
        <w:r w:rsidRPr="005A6FB2" w:rsidDel="0081228A">
          <w:rPr>
            <w:sz w:val="24"/>
            <w:szCs w:val="24"/>
            <w:lang w:val="es-VE"/>
          </w:rPr>
          <w:delText xml:space="preserve"> Estados Unidos y el país que recibe más turistas</w:delText>
        </w:r>
        <w:r w:rsidR="005A6FB2" w:rsidDel="0081228A">
          <w:rPr>
            <w:sz w:val="24"/>
            <w:szCs w:val="24"/>
            <w:lang w:val="es-VE"/>
          </w:rPr>
          <w:delText xml:space="preserve">, </w:delText>
        </w:r>
        <w:r w:rsidRPr="005A6FB2" w:rsidDel="0081228A">
          <w:rPr>
            <w:sz w:val="24"/>
            <w:szCs w:val="24"/>
            <w:lang w:val="es-VE"/>
          </w:rPr>
          <w:delText>México, con cerca de 24 millones de turistas internacionales en los meses de enero a julio de 2023.</w:delText>
        </w:r>
      </w:del>
    </w:p>
    <w:p w14:paraId="04C3CC14" w14:textId="12D85364" w:rsidR="00C2709A" w:rsidRPr="005A6FB2" w:rsidDel="0081228A" w:rsidRDefault="00C2709A">
      <w:pPr>
        <w:rPr>
          <w:del w:id="79" w:author="Juan Sarmiento" w:date="2023-09-27T12:28:00Z"/>
          <w:sz w:val="24"/>
          <w:szCs w:val="24"/>
          <w:lang w:val="es-VE"/>
        </w:rPr>
      </w:pPr>
    </w:p>
    <w:p w14:paraId="6678CE84" w14:textId="3042931B" w:rsidR="00C2709A" w:rsidDel="0081228A" w:rsidRDefault="00866994">
      <w:pPr>
        <w:rPr>
          <w:del w:id="80" w:author="Juan Sarmiento" w:date="2023-09-27T12:28:00Z"/>
          <w:sz w:val="24"/>
          <w:szCs w:val="24"/>
          <w:highlight w:val="yellow"/>
        </w:rPr>
      </w:pPr>
      <w:del w:id="81" w:author="Juan Sarmiento" w:date="2023-09-27T12:28:00Z">
        <w:r w:rsidDel="0081228A">
          <w:rPr>
            <w:noProof/>
          </w:rPr>
          <w:drawing>
            <wp:inline distT="0" distB="0" distL="0" distR="0" wp14:anchorId="641FCF5C" wp14:editId="3362E5D9">
              <wp:extent cx="4738255" cy="2001982"/>
              <wp:effectExtent l="0" t="0" r="5715" b="0"/>
              <wp:docPr id="9" name="Chart 9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1"/>
                </a:graphicData>
              </a:graphic>
            </wp:inline>
          </w:drawing>
        </w:r>
      </w:del>
    </w:p>
    <w:p w14:paraId="43978115" w14:textId="0BE6D3DE" w:rsidR="00C2709A" w:rsidDel="0081228A" w:rsidRDefault="00866994">
      <w:pPr>
        <w:rPr>
          <w:del w:id="82" w:author="Juan Sarmiento" w:date="2023-09-27T12:28:00Z"/>
          <w:sz w:val="24"/>
          <w:szCs w:val="24"/>
        </w:rPr>
      </w:pPr>
      <w:del w:id="83" w:author="Juan Sarmiento" w:date="2023-09-27T12:28:00Z">
        <w:r w:rsidDel="0081228A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hidden="0" allowOverlap="1" wp14:anchorId="74187F1C" wp14:editId="6AD147BC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102293</wp:posOffset>
                  </wp:positionV>
                  <wp:extent cx="3512127" cy="228600"/>
                  <wp:effectExtent l="0" t="0" r="0" b="0"/>
                  <wp:wrapNone/>
                  <wp:docPr id="2" name="Text Box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512127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4D6217" w14:textId="77777777" w:rsidR="00D413C3" w:rsidRPr="00396332" w:rsidRDefault="00866994" w:rsidP="00A51C97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</w:pP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>Fuen</w:t>
                              </w: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tes: Análisis de ALTA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 xml:space="preserve">basado en datos de </w:t>
                              </w:r>
                              <w:r w:rsidRPr="00396332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  <w:lang w:val="es-419"/>
                                </w:rPr>
                                <w:t>OMT</w:t>
                              </w:r>
                            </w:p>
                            <w:p w14:paraId="1AB8D8DC" w14:textId="77777777" w:rsidR="00D413C3" w:rsidRPr="005A6FB2" w:rsidRDefault="00D413C3" w:rsidP="00A51C97">
                              <w:pPr>
                                <w:rPr>
                                  <w:sz w:val="16"/>
                                  <w:szCs w:val="16"/>
                                  <w:lang w:val="es-V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74187F1C" id="Text Box 2" o:spid="_x0000_s1030" type="#_x0000_t202" style="position:absolute;margin-left:0;margin-top:8.05pt;width:276.5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" fillcolor="white [3201]" stroked="f" strokeweight=".5pt">
                  <v:textbox>
                    <w:txbxContent>
                      <w:p w14:paraId="134D6217" w14:textId="77777777" w:rsidR="00D413C3" w:rsidRPr="00396332" w:rsidRDefault="00866994" w:rsidP="00A51C97">
                        <w:pP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</w:pP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>Fuen</w:t>
                        </w: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tes: Análisis de ALTA 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 xml:space="preserve">basado en datos de </w:t>
                        </w:r>
                        <w:r w:rsidRPr="00396332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es-419"/>
                          </w:rPr>
                          <w:t>OMT</w:t>
                        </w:r>
                      </w:p>
                      <w:p w14:paraId="1AB8D8DC" w14:textId="77777777" w:rsidR="00D413C3" w:rsidRPr="005A6FB2" w:rsidRDefault="00D413C3" w:rsidP="00A51C97">
                        <w:pPr>
                          <w:rPr>
                            <w:sz w:val="16"/>
                            <w:szCs w:val="16"/>
                            <w:lang w:val="es-VE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del>
    </w:p>
    <w:p w14:paraId="263FE862" w14:textId="315AB382" w:rsidR="00C2709A" w:rsidDel="0081228A" w:rsidRDefault="00C2709A">
      <w:pPr>
        <w:rPr>
          <w:del w:id="84" w:author="Juan Sarmiento" w:date="2023-09-27T12:28:00Z"/>
          <w:sz w:val="24"/>
          <w:szCs w:val="24"/>
        </w:rPr>
      </w:pPr>
    </w:p>
    <w:p w14:paraId="32BE6F2F" w14:textId="7FA53D1E" w:rsidR="005A6FB2" w:rsidDel="0081228A" w:rsidRDefault="005A6FB2">
      <w:pPr>
        <w:rPr>
          <w:del w:id="85" w:author="Juan Sarmiento" w:date="2023-09-27T12:28:00Z"/>
          <w:b/>
          <w:sz w:val="24"/>
          <w:szCs w:val="24"/>
          <w:lang w:val="es-VE"/>
        </w:rPr>
      </w:pPr>
    </w:p>
    <w:p w14:paraId="66B4A1E6" w14:textId="31962A3E" w:rsidR="00FA3582" w:rsidRPr="005A6FB2" w:rsidDel="0081228A" w:rsidRDefault="005A6FB2" w:rsidP="00FA3582">
      <w:pPr>
        <w:rPr>
          <w:del w:id="86" w:author="Juan Sarmiento" w:date="2023-09-27T12:28:00Z"/>
          <w:color w:val="000000"/>
          <w:sz w:val="24"/>
          <w:szCs w:val="24"/>
          <w:lang w:val="es-VE"/>
        </w:rPr>
      </w:pPr>
      <w:del w:id="87" w:author="Juan Sarmiento" w:date="2023-09-27T12:28:00Z">
        <w:r w:rsidDel="0081228A">
          <w:rPr>
            <w:b/>
            <w:sz w:val="24"/>
            <w:szCs w:val="24"/>
            <w:lang w:val="es-VE"/>
          </w:rPr>
          <w:delText>“</w:delText>
        </w:r>
        <w:r w:rsidR="00FA3582" w:rsidDel="0081228A">
          <w:rPr>
            <w:b/>
            <w:sz w:val="24"/>
            <w:szCs w:val="24"/>
            <w:lang w:val="es-VE"/>
          </w:rPr>
          <w:delText>Desde ALTA conmemoramos el Día Mundial del Turismo porque está completamente aviación y turismo están completamente relacionadas. Entre el 80% y 90% de los turistas de la región llegan por vía aérea y podemos afirmar que el pasaje aéreo es la gran puerta de entrada a los países. Mientras trabajemos para generar eficiencia y más y mejores opciones para los pasajeros, más turistas tendremos. Latinoamérica y el Cribe está llena de riqueza cultural, gastronómica y natural. Tenemos mucho para mostrar y mucho para crecer. Aviación está aquí para potenciar el turismo y generar conjuntamente más oportunidades de desarrollo socioeconómico para nuestros países y personas”,</w:delText>
        </w:r>
        <w:r w:rsidR="00FA3582" w:rsidRPr="00FA3582" w:rsidDel="0081228A">
          <w:rPr>
            <w:color w:val="000000"/>
            <w:sz w:val="24"/>
            <w:szCs w:val="24"/>
            <w:lang w:val="es-VE"/>
          </w:rPr>
          <w:delText xml:space="preserve"> </w:delText>
        </w:r>
        <w:r w:rsidR="00FA3582" w:rsidRPr="005A6FB2" w:rsidDel="0081228A">
          <w:rPr>
            <w:sz w:val="24"/>
            <w:szCs w:val="24"/>
            <w:lang w:val="es-VE"/>
          </w:rPr>
          <w:delText>señala José Ricardo Botelho, Director Ejecutivo y CEO de ALTA, quien destaca el valioso aporte de este sector, a propósito del Día Mundial del Turi</w:delText>
        </w:r>
        <w:r w:rsidR="00FA3582" w:rsidDel="0081228A">
          <w:rPr>
            <w:sz w:val="24"/>
            <w:szCs w:val="24"/>
            <w:lang w:val="es-VE"/>
          </w:rPr>
          <w:delText>s</w:delText>
        </w:r>
        <w:r w:rsidR="00FA3582" w:rsidRPr="005A6FB2" w:rsidDel="0081228A">
          <w:rPr>
            <w:sz w:val="24"/>
            <w:szCs w:val="24"/>
            <w:lang w:val="es-VE"/>
          </w:rPr>
          <w:delText>mo.</w:delText>
        </w:r>
      </w:del>
    </w:p>
    <w:p w14:paraId="25D97C42" w14:textId="3AB3EFD0" w:rsidR="005A6FB2" w:rsidRDefault="005A6FB2">
      <w:pPr>
        <w:rPr>
          <w:b/>
          <w:sz w:val="24"/>
          <w:szCs w:val="24"/>
          <w:lang w:val="es-VE"/>
        </w:rPr>
      </w:pPr>
    </w:p>
    <w:p w14:paraId="670823EE" w14:textId="77777777" w:rsidR="00FA3582" w:rsidRDefault="00FA3582">
      <w:pPr>
        <w:rPr>
          <w:b/>
          <w:sz w:val="24"/>
          <w:szCs w:val="24"/>
          <w:lang w:val="es-VE"/>
        </w:rPr>
      </w:pPr>
    </w:p>
    <w:p w14:paraId="3944C8B0" w14:textId="77777777" w:rsidR="00FA3582" w:rsidRDefault="00FA3582">
      <w:pPr>
        <w:rPr>
          <w:b/>
          <w:sz w:val="24"/>
          <w:szCs w:val="24"/>
          <w:lang w:val="es-VE"/>
        </w:rPr>
      </w:pPr>
    </w:p>
    <w:p w14:paraId="7CC2C4B3" w14:textId="4EBC38BD" w:rsidR="00C2709A" w:rsidRPr="005A6FB2" w:rsidRDefault="00866994">
      <w:pPr>
        <w:rPr>
          <w:b/>
          <w:sz w:val="24"/>
          <w:szCs w:val="24"/>
          <w:lang w:val="es-VE"/>
        </w:rPr>
      </w:pPr>
      <w:r w:rsidRPr="005A6FB2">
        <w:rPr>
          <w:b/>
          <w:sz w:val="24"/>
          <w:szCs w:val="24"/>
          <w:lang w:val="es-VE"/>
        </w:rPr>
        <w:t>Viajes ocio y búsqueda de experiencias son los más rentables</w:t>
      </w:r>
    </w:p>
    <w:p w14:paraId="570103B5" w14:textId="77777777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 xml:space="preserve"> </w:t>
      </w:r>
    </w:p>
    <w:p w14:paraId="5CF81A2F" w14:textId="6A4DFD97" w:rsidR="00C2709A" w:rsidRPr="005A6FB2" w:rsidRDefault="00866994">
      <w:pPr>
        <w:rPr>
          <w:sz w:val="24"/>
          <w:szCs w:val="24"/>
          <w:lang w:val="es-VE"/>
        </w:rPr>
      </w:pPr>
      <w:del w:id="88" w:author="Juan Sarmiento" w:date="2023-09-27T12:31:00Z">
        <w:r w:rsidRPr="005A6FB2" w:rsidDel="00866994">
          <w:rPr>
            <w:sz w:val="24"/>
            <w:szCs w:val="24"/>
            <w:lang w:val="es-VE"/>
          </w:rPr>
          <w:delText>Según los datos de ALTA</w:delText>
        </w:r>
      </w:del>
      <w:ins w:id="89" w:author="Juan Sarmiento" w:date="2023-09-27T12:31:00Z">
        <w:r>
          <w:rPr>
            <w:sz w:val="24"/>
            <w:szCs w:val="24"/>
            <w:lang w:val="es-VE"/>
          </w:rPr>
          <w:t>De acuerdo con datos de MasterCard</w:t>
        </w:r>
      </w:ins>
      <w:r w:rsidRPr="005A6FB2">
        <w:rPr>
          <w:sz w:val="24"/>
          <w:szCs w:val="24"/>
          <w:lang w:val="es-VE"/>
        </w:rPr>
        <w:t xml:space="preserve">, el 85.3% del </w:t>
      </w:r>
      <w:r w:rsidRPr="005A6FB2">
        <w:rPr>
          <w:sz w:val="24"/>
          <w:szCs w:val="24"/>
          <w:lang w:val="es-VE"/>
        </w:rPr>
        <w:t xml:space="preserve">gasto de los turistas que llegan a LAC corresponde a viajes de </w:t>
      </w:r>
      <w:proofErr w:type="spellStart"/>
      <w:r w:rsidRPr="005A6FB2">
        <w:rPr>
          <w:sz w:val="24"/>
          <w:szCs w:val="24"/>
          <w:lang w:val="es-VE"/>
        </w:rPr>
        <w:t>ocio</w:t>
      </w:r>
      <w:del w:id="90" w:author="Juan Sarmiento" w:date="2023-09-27T12:32:00Z">
        <w:r w:rsidRPr="005A6FB2" w:rsidDel="00866994">
          <w:rPr>
            <w:sz w:val="24"/>
            <w:szCs w:val="24"/>
            <w:lang w:val="es-VE"/>
          </w:rPr>
          <w:delText>. De igual manera, la asociación afirma que</w:delText>
        </w:r>
      </w:del>
      <w:ins w:id="91" w:author="Juan Sarmiento" w:date="2023-09-27T12:32:00Z">
        <w:r>
          <w:rPr>
            <w:sz w:val="24"/>
            <w:szCs w:val="24"/>
            <w:lang w:val="es-VE"/>
          </w:rPr>
          <w:t>y</w:t>
        </w:r>
      </w:ins>
      <w:proofErr w:type="spellEnd"/>
      <w:r w:rsidRPr="005A6FB2">
        <w:rPr>
          <w:sz w:val="24"/>
          <w:szCs w:val="24"/>
          <w:lang w:val="es-VE"/>
        </w:rPr>
        <w:t xml:space="preserve"> las reservaciones de </w:t>
      </w:r>
      <w:del w:id="92" w:author="Juan Sarmiento" w:date="2023-09-27T12:32:00Z">
        <w:r w:rsidRPr="005A6FB2" w:rsidDel="00866994">
          <w:rPr>
            <w:sz w:val="24"/>
            <w:szCs w:val="24"/>
            <w:lang w:val="es-VE"/>
          </w:rPr>
          <w:delText>viajes de ocio</w:delText>
        </w:r>
      </w:del>
      <w:ins w:id="93" w:author="Juan Sarmiento" w:date="2023-09-27T12:32:00Z">
        <w:r>
          <w:rPr>
            <w:sz w:val="24"/>
            <w:szCs w:val="24"/>
            <w:lang w:val="es-VE"/>
          </w:rPr>
          <w:t>dichos viajes</w:t>
        </w:r>
      </w:ins>
      <w:r w:rsidRPr="005A6FB2">
        <w:rPr>
          <w:sz w:val="24"/>
          <w:szCs w:val="24"/>
          <w:lang w:val="es-VE"/>
        </w:rPr>
        <w:t xml:space="preserve"> en los países de LAC han aumentado considerablemente comparado con 2019. </w:t>
      </w:r>
    </w:p>
    <w:p w14:paraId="35115856" w14:textId="77777777" w:rsidR="00C2709A" w:rsidRPr="005A6FB2" w:rsidRDefault="00C2709A">
      <w:pPr>
        <w:rPr>
          <w:sz w:val="24"/>
          <w:szCs w:val="24"/>
          <w:lang w:val="es-VE"/>
        </w:rPr>
      </w:pPr>
    </w:p>
    <w:p w14:paraId="7576BE38" w14:textId="63F4F861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lastRenderedPageBreak/>
        <w:t>En este contexto, para finales del</w:t>
      </w:r>
      <w:r w:rsidRPr="005A6FB2">
        <w:rPr>
          <w:sz w:val="24"/>
          <w:szCs w:val="24"/>
          <w:lang w:val="es-VE"/>
        </w:rPr>
        <w:t xml:space="preserve"> </w:t>
      </w:r>
      <w:r w:rsidR="00FA3582">
        <w:rPr>
          <w:sz w:val="24"/>
          <w:szCs w:val="24"/>
          <w:lang w:val="es-VE"/>
        </w:rPr>
        <w:t>primer trimestre de 20</w:t>
      </w:r>
      <w:r w:rsidRPr="005A6FB2">
        <w:rPr>
          <w:sz w:val="24"/>
          <w:szCs w:val="24"/>
          <w:lang w:val="es-VE"/>
        </w:rPr>
        <w:t xml:space="preserve">23, países como República Dominicana, Jamaica y Costa Rica destacaron notablemente con un aumento de 226%, 129% y 107%, respectivamente, en relación con los niveles previos a la pandemia. </w:t>
      </w:r>
    </w:p>
    <w:p w14:paraId="676C6885" w14:textId="77777777" w:rsidR="00C2709A" w:rsidRPr="005A6FB2" w:rsidRDefault="00C2709A">
      <w:pPr>
        <w:rPr>
          <w:sz w:val="24"/>
          <w:szCs w:val="24"/>
          <w:lang w:val="es-VE"/>
        </w:rPr>
      </w:pPr>
    </w:p>
    <w:p w14:paraId="44F2B206" w14:textId="77777777" w:rsidR="00C2709A" w:rsidRDefault="0086699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9B9ED28" wp14:editId="6CCC0D17">
            <wp:extent cx="3463636" cy="2382982"/>
            <wp:effectExtent l="0" t="0" r="381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DA465C0" w14:textId="77777777" w:rsidR="00C2709A" w:rsidRDefault="00866994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B1F2B68" wp14:editId="25D11EF5">
                <wp:simplePos x="0" y="0"/>
                <wp:positionH relativeFrom="column">
                  <wp:posOffset>-6349</wp:posOffset>
                </wp:positionH>
                <wp:positionV relativeFrom="paragraph">
                  <wp:posOffset>39543</wp:posOffset>
                </wp:positionV>
                <wp:extent cx="4682836" cy="263236"/>
                <wp:effectExtent l="0" t="0" r="381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2836" cy="2632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4C9398" w14:textId="77777777" w:rsidR="00D413C3" w:rsidRPr="00A51C97" w:rsidRDefault="00866994" w:rsidP="00A51C9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Fuentes: Análisis de ALTA basado en datos de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Mastercard</w:t>
                            </w:r>
                            <w:proofErr w:type="spellEnd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Economics</w:t>
                            </w:r>
                            <w:proofErr w:type="spellEnd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Institute</w:t>
                            </w:r>
                            <w:proofErr w:type="spellEnd"/>
                          </w:p>
                          <w:p w14:paraId="17C7067D" w14:textId="77777777" w:rsidR="00D413C3" w:rsidRPr="005A6FB2" w:rsidRDefault="00D413C3" w:rsidP="00A51C97">
                            <w:pPr>
                              <w:rPr>
                                <w:lang w:val="es-V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F2B68" id="Text Box 11" o:spid="_x0000_s1031" type="#_x0000_t202" style="position:absolute;margin-left:-.5pt;margin-top:3.1pt;width:368.75pt;height:2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" fillcolor="white [3201]" stroked="f" strokeweight=".5pt">
                <v:textbox>
                  <w:txbxContent>
                    <w:p w14:paraId="5F4C9398" w14:textId="77777777" w:rsidR="00D413C3" w:rsidRPr="00A51C97" w:rsidRDefault="00866994" w:rsidP="00A51C9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</w:pPr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Fuentes: Análisis de ALTA basado en datos de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Mastercard</w:t>
                      </w:r>
                      <w:proofErr w:type="spellEnd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Economics</w:t>
                      </w:r>
                      <w:proofErr w:type="spellEnd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Institute</w:t>
                      </w:r>
                      <w:proofErr w:type="spellEnd"/>
                    </w:p>
                    <w:p w14:paraId="17C7067D" w14:textId="77777777" w:rsidR="00D413C3" w:rsidRPr="005A6FB2" w:rsidRDefault="00D413C3" w:rsidP="00A51C97">
                      <w:pPr>
                        <w:rPr>
                          <w:lang w:val="es-V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E03ADD" w14:textId="77777777" w:rsidR="00C2709A" w:rsidRDefault="00C2709A">
      <w:pPr>
        <w:rPr>
          <w:sz w:val="24"/>
          <w:szCs w:val="24"/>
        </w:rPr>
      </w:pPr>
    </w:p>
    <w:p w14:paraId="333EE808" w14:textId="64E03F1F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 xml:space="preserve">"La demanda y el gasto destinado a las experiencias se ha mostrado muy rentable en la región, los viajeros buscan cada vez más acceder a experiencias en diferentes </w:t>
      </w:r>
      <w:r w:rsidRPr="005A6FB2">
        <w:rPr>
          <w:sz w:val="24"/>
          <w:szCs w:val="24"/>
          <w:lang w:val="es-VE"/>
        </w:rPr>
        <w:t>destinos del mundo por encima de bienes materiales o cosas</w:t>
      </w:r>
      <w:r w:rsidR="00FA3582">
        <w:rPr>
          <w:sz w:val="24"/>
          <w:szCs w:val="24"/>
          <w:lang w:val="es-VE"/>
        </w:rPr>
        <w:t>. Esto genera empleos a una extensa cadena de valor. No solo restaurantes, museos, taxistas, sino a pequeños artesanos, proveedores de ellos y mucho más</w:t>
      </w:r>
      <w:r w:rsidRPr="005A6FB2">
        <w:rPr>
          <w:sz w:val="24"/>
          <w:szCs w:val="24"/>
          <w:lang w:val="es-VE"/>
        </w:rPr>
        <w:t>", argumenta Botelho.</w:t>
      </w:r>
    </w:p>
    <w:p w14:paraId="0F585A25" w14:textId="77777777" w:rsidR="00C2709A" w:rsidRPr="005A6FB2" w:rsidRDefault="00C2709A">
      <w:pPr>
        <w:rPr>
          <w:sz w:val="24"/>
          <w:szCs w:val="24"/>
          <w:lang w:val="es-VE"/>
        </w:rPr>
      </w:pPr>
    </w:p>
    <w:p w14:paraId="4B86EBBF" w14:textId="5129DB8B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 xml:space="preserve">En El Salvador, </w:t>
      </w:r>
      <w:del w:id="94" w:author="Juan Sarmiento" w:date="2023-09-27T12:35:00Z">
        <w:r w:rsidRPr="005A6FB2" w:rsidDel="00866994">
          <w:rPr>
            <w:sz w:val="24"/>
            <w:szCs w:val="24"/>
            <w:lang w:val="es-VE"/>
          </w:rPr>
          <w:delText>dice la</w:delText>
        </w:r>
        <w:r w:rsidRPr="005A6FB2" w:rsidDel="00866994">
          <w:rPr>
            <w:sz w:val="24"/>
            <w:szCs w:val="24"/>
            <w:lang w:val="es-VE"/>
          </w:rPr>
          <w:delText xml:space="preserve"> asociación</w:delText>
        </w:r>
      </w:del>
      <w:r w:rsidRPr="005A6FB2">
        <w:rPr>
          <w:sz w:val="24"/>
          <w:szCs w:val="24"/>
          <w:lang w:val="es-VE"/>
        </w:rPr>
        <w:t xml:space="preserve">, </w:t>
      </w:r>
      <w:del w:id="95" w:author="Juan Sarmiento" w:date="2023-09-27T12:35:00Z">
        <w:r w:rsidRPr="005A6FB2" w:rsidDel="00866994">
          <w:rPr>
            <w:sz w:val="24"/>
            <w:szCs w:val="24"/>
            <w:lang w:val="es-VE"/>
          </w:rPr>
          <w:delText>la recuperación en este gasto</w:delText>
        </w:r>
      </w:del>
      <w:ins w:id="96" w:author="Juan Sarmiento" w:date="2023-09-27T12:35:00Z">
        <w:r>
          <w:rPr>
            <w:sz w:val="24"/>
            <w:szCs w:val="24"/>
            <w:lang w:val="es-VE"/>
          </w:rPr>
          <w:t>las reservas en viajes de ocio</w:t>
        </w:r>
      </w:ins>
      <w:r w:rsidRPr="005A6FB2">
        <w:rPr>
          <w:sz w:val="24"/>
          <w:szCs w:val="24"/>
          <w:lang w:val="es-VE"/>
        </w:rPr>
        <w:t xml:space="preserve"> ha</w:t>
      </w:r>
      <w:ins w:id="97" w:author="Juan Sarmiento" w:date="2023-09-27T12:35:00Z">
        <w:r>
          <w:rPr>
            <w:sz w:val="24"/>
            <w:szCs w:val="24"/>
            <w:lang w:val="es-VE"/>
          </w:rPr>
          <w:t>n</w:t>
        </w:r>
      </w:ins>
      <w:r w:rsidRPr="005A6FB2">
        <w:rPr>
          <w:sz w:val="24"/>
          <w:szCs w:val="24"/>
          <w:lang w:val="es-VE"/>
        </w:rPr>
        <w:t xml:space="preserve"> aumentado 214% en relación con marzo de 2019, mientras que en Costa Rica </w:t>
      </w:r>
      <w:del w:id="98" w:author="Juan Sarmiento" w:date="2023-09-27T12:35:00Z">
        <w:r w:rsidRPr="005A6FB2" w:rsidDel="00866994">
          <w:rPr>
            <w:sz w:val="24"/>
            <w:szCs w:val="24"/>
            <w:lang w:val="es-VE"/>
          </w:rPr>
          <w:delText>tuvo un aumento de</w:delText>
        </w:r>
      </w:del>
      <w:ins w:id="99" w:author="Juan Sarmiento" w:date="2023-09-27T12:35:00Z">
        <w:r>
          <w:rPr>
            <w:sz w:val="24"/>
            <w:szCs w:val="24"/>
            <w:lang w:val="es-VE"/>
          </w:rPr>
          <w:t>han aumentado</w:t>
        </w:r>
      </w:ins>
      <w:r w:rsidRPr="005A6FB2">
        <w:rPr>
          <w:sz w:val="24"/>
          <w:szCs w:val="24"/>
          <w:lang w:val="es-VE"/>
        </w:rPr>
        <w:t xml:space="preserve"> 144% y </w:t>
      </w:r>
      <w:ins w:id="100" w:author="Juan Sarmiento" w:date="2023-09-27T12:35:00Z">
        <w:r>
          <w:rPr>
            <w:sz w:val="24"/>
            <w:szCs w:val="24"/>
            <w:lang w:val="es-VE"/>
          </w:rPr>
          <w:t xml:space="preserve">en </w:t>
        </w:r>
      </w:ins>
      <w:r w:rsidRPr="005A6FB2">
        <w:rPr>
          <w:sz w:val="24"/>
          <w:szCs w:val="24"/>
          <w:lang w:val="es-VE"/>
        </w:rPr>
        <w:t xml:space="preserve">Guatemala </w:t>
      </w:r>
      <w:del w:id="101" w:author="Juan Sarmiento" w:date="2023-09-27T12:35:00Z">
        <w:r w:rsidRPr="005A6FB2" w:rsidDel="00866994">
          <w:rPr>
            <w:sz w:val="24"/>
            <w:szCs w:val="24"/>
            <w:lang w:val="es-VE"/>
          </w:rPr>
          <w:delText>de</w:delText>
        </w:r>
      </w:del>
      <w:r w:rsidRPr="005A6FB2">
        <w:rPr>
          <w:sz w:val="24"/>
          <w:szCs w:val="24"/>
          <w:lang w:val="es-VE"/>
        </w:rPr>
        <w:t xml:space="preserve"> 118%.</w:t>
      </w:r>
    </w:p>
    <w:p w14:paraId="120EE1F8" w14:textId="77777777" w:rsidR="00C2709A" w:rsidRPr="005A6FB2" w:rsidRDefault="00C2709A">
      <w:pPr>
        <w:rPr>
          <w:sz w:val="24"/>
          <w:szCs w:val="24"/>
          <w:lang w:val="es-VE"/>
        </w:rPr>
      </w:pPr>
    </w:p>
    <w:p w14:paraId="5FFFA9EE" w14:textId="77777777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>A nivel de las ciudades también se han mostrado incrementos importantes como en Los Cabos d</w:t>
      </w:r>
      <w:r w:rsidRPr="005A6FB2">
        <w:rPr>
          <w:sz w:val="24"/>
          <w:szCs w:val="24"/>
          <w:lang w:val="es-VE"/>
        </w:rPr>
        <w:t>onde hubo un aumento de 708%, Guayaquil (+218%), Quito (+95%), Belo Horizonte (+127%) y Porto Alegre (+93%).</w:t>
      </w:r>
    </w:p>
    <w:p w14:paraId="6E26EA32" w14:textId="77777777" w:rsidR="00C2709A" w:rsidRPr="005A6FB2" w:rsidRDefault="00866994">
      <w:pPr>
        <w:rPr>
          <w:sz w:val="24"/>
          <w:szCs w:val="24"/>
          <w:lang w:val="es-VE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hidden="0" allowOverlap="1" wp14:anchorId="629D5F50" wp14:editId="4A5E76C0">
            <wp:simplePos x="0" y="0"/>
            <wp:positionH relativeFrom="column">
              <wp:posOffset>3227705</wp:posOffset>
            </wp:positionH>
            <wp:positionV relativeFrom="paragraph">
              <wp:posOffset>41910</wp:posOffset>
            </wp:positionV>
            <wp:extent cx="3449320" cy="2479675"/>
            <wp:effectExtent l="0" t="0" r="0" b="0"/>
            <wp:wrapSquare wrapText="bothSides" distT="0" distB="0" distL="114300" distR="1143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24FE72CD" wp14:editId="5086EE26">
            <wp:simplePos x="0" y="0"/>
            <wp:positionH relativeFrom="column">
              <wp:posOffset>-498878</wp:posOffset>
            </wp:positionH>
            <wp:positionV relativeFrom="paragraph">
              <wp:posOffset>117764</wp:posOffset>
            </wp:positionV>
            <wp:extent cx="3560445" cy="2348230"/>
            <wp:effectExtent l="0" t="0" r="1905" b="0"/>
            <wp:wrapSquare wrapText="bothSides" distT="0" distB="0" distL="114300" distR="1143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636B132D" wp14:editId="1DCB8A5A">
                <wp:simplePos x="0" y="0"/>
                <wp:positionH relativeFrom="column">
                  <wp:posOffset>1</wp:posOffset>
                </wp:positionH>
                <wp:positionV relativeFrom="paragraph">
                  <wp:posOffset>2651124</wp:posOffset>
                </wp:positionV>
                <wp:extent cx="4682836" cy="263236"/>
                <wp:effectExtent l="0" t="0" r="381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2836" cy="2632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743F3" w14:textId="77777777" w:rsidR="00D413C3" w:rsidRPr="00A51C97" w:rsidRDefault="00866994" w:rsidP="00A51C9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Fuentes: Análisis de ALTA basado en datos de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Mastercard</w:t>
                            </w:r>
                            <w:proofErr w:type="spellEnd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Economics</w:t>
                            </w:r>
                            <w:proofErr w:type="spellEnd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 xml:space="preserve"> </w:t>
                            </w:r>
                            <w:proofErr w:type="spellStart"/>
                            <w:r w:rsidRPr="00A51C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419"/>
                              </w:rPr>
                              <w:t>Institute</w:t>
                            </w:r>
                            <w:proofErr w:type="spellEnd"/>
                          </w:p>
                          <w:p w14:paraId="5E7687A2" w14:textId="77777777" w:rsidR="00D413C3" w:rsidRPr="005A6FB2" w:rsidRDefault="00D413C3" w:rsidP="00A51C97">
                            <w:pPr>
                              <w:rPr>
                                <w:lang w:val="es-V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B132D" id="Text Box 6" o:spid="_x0000_s1032" type="#_x0000_t202" style="position:absolute;margin-left:0;margin-top:208.75pt;width:368.75pt;height:2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" fillcolor="white [3201]" stroked="f" strokeweight=".5pt">
                <v:textbox>
                  <w:txbxContent>
                    <w:p w14:paraId="347743F3" w14:textId="77777777" w:rsidR="00D413C3" w:rsidRPr="00A51C97" w:rsidRDefault="00866994" w:rsidP="00A51C9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</w:pPr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Fuentes: Análisis de ALTA basado en datos de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Mastercard</w:t>
                      </w:r>
                      <w:proofErr w:type="spellEnd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Economics</w:t>
                      </w:r>
                      <w:proofErr w:type="spellEnd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  <w:proofErr w:type="spellStart"/>
                      <w:r w:rsidRPr="00A51C97"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419"/>
                        </w:rPr>
                        <w:t>Institute</w:t>
                      </w:r>
                      <w:proofErr w:type="spellEnd"/>
                    </w:p>
                    <w:p w14:paraId="5E7687A2" w14:textId="77777777" w:rsidR="00D413C3" w:rsidRPr="005A6FB2" w:rsidRDefault="00D413C3" w:rsidP="00A51C97">
                      <w:pPr>
                        <w:rPr>
                          <w:lang w:val="es-V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F37F17" w14:textId="77777777" w:rsidR="00C2709A" w:rsidRPr="005A6FB2" w:rsidRDefault="00C2709A">
      <w:pPr>
        <w:rPr>
          <w:sz w:val="24"/>
          <w:szCs w:val="24"/>
          <w:lang w:val="es-VE"/>
        </w:rPr>
      </w:pPr>
    </w:p>
    <w:p w14:paraId="495F8A2B" w14:textId="77777777" w:rsidR="00C2709A" w:rsidRPr="005A6FB2" w:rsidRDefault="00C2709A">
      <w:pPr>
        <w:rPr>
          <w:sz w:val="24"/>
          <w:szCs w:val="24"/>
          <w:lang w:val="es-VE"/>
        </w:rPr>
      </w:pPr>
    </w:p>
    <w:p w14:paraId="71447447" w14:textId="77777777" w:rsidR="00C2709A" w:rsidRPr="005A6FB2" w:rsidRDefault="00866994">
      <w:pPr>
        <w:rPr>
          <w:sz w:val="24"/>
          <w:szCs w:val="24"/>
          <w:lang w:val="es-VE"/>
        </w:rPr>
      </w:pPr>
      <w:r w:rsidRPr="005A6FB2">
        <w:rPr>
          <w:sz w:val="24"/>
          <w:szCs w:val="24"/>
          <w:lang w:val="es-VE"/>
        </w:rPr>
        <w:t>"Para poder sacar provecho de todo el potencial de crecimiento</w:t>
      </w:r>
      <w:r w:rsidRPr="005A6FB2">
        <w:rPr>
          <w:sz w:val="24"/>
          <w:szCs w:val="24"/>
          <w:lang w:val="es-VE"/>
        </w:rPr>
        <w:t>, los gobiernos deben trabajar en pilares que restan competitividad a la región. Estos se enfocan principalmente en materia de infraestructura y tasas impositivas a pasajeros. La región ha venido mejorando sustancialmente en estos aspectos. Pero todavía qu</w:t>
      </w:r>
      <w:r w:rsidRPr="005A6FB2">
        <w:rPr>
          <w:sz w:val="24"/>
          <w:szCs w:val="24"/>
          <w:lang w:val="es-VE"/>
        </w:rPr>
        <w:t>eda mucho camino por recorrer para capitalizar todo el potencial de una industria que en Latinoamérica crecerá hasta 2,9% anual en los próximos 20 años", reflexiona el CEO de ALTA.</w:t>
      </w:r>
    </w:p>
    <w:p w14:paraId="6A2DADC5" w14:textId="77777777" w:rsidR="00C2709A" w:rsidRPr="005A6FB2" w:rsidRDefault="00C2709A">
      <w:pPr>
        <w:rPr>
          <w:sz w:val="24"/>
          <w:szCs w:val="24"/>
          <w:lang w:val="es-VE"/>
        </w:rPr>
      </w:pPr>
    </w:p>
    <w:p w14:paraId="757040A5" w14:textId="77777777" w:rsidR="00C2709A" w:rsidRPr="005A6FB2" w:rsidRDefault="00C2709A">
      <w:pPr>
        <w:rPr>
          <w:sz w:val="24"/>
          <w:szCs w:val="24"/>
          <w:lang w:val="es-VE"/>
        </w:rPr>
      </w:pPr>
    </w:p>
    <w:sectPr w:rsidR="00C2709A" w:rsidRPr="005A6FB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an Sarmiento">
    <w15:presenceInfo w15:providerId="AD" w15:userId="S::jsarmiento@alta.aero::af1216a4-86ea-41b5-91b0-4e0330db9e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9A"/>
    <w:rsid w:val="00316626"/>
    <w:rsid w:val="005A6FB2"/>
    <w:rsid w:val="0081228A"/>
    <w:rsid w:val="00866994"/>
    <w:rsid w:val="00C2709A"/>
    <w:rsid w:val="00D413C3"/>
    <w:rsid w:val="00FA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CB2"/>
  <w15:docId w15:val="{CC938CA9-51C2-4A30-844E-923A2450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31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fontTable" Target="fontTable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urismo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800" baseline="0"/>
              <a:t>Crecimiento en número de turistas internacionales en LAC  (2023 vs.2019)</a:t>
            </a:r>
            <a:endParaRPr lang="es-MX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Hoja1!$B$33:$B$39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Hoja1!$C$33:$C$39</c:f>
              <c:numCache>
                <c:formatCode>0%</c:formatCode>
                <c:ptCount val="7"/>
                <c:pt idx="0">
                  <c:v>-7.3302257563294004E-2</c:v>
                </c:pt>
                <c:pt idx="1">
                  <c:v>-8.5184088441417449E-2</c:v>
                </c:pt>
                <c:pt idx="2">
                  <c:v>-0.12343454365258133</c:v>
                </c:pt>
                <c:pt idx="3">
                  <c:v>-8.433981576253835E-2</c:v>
                </c:pt>
                <c:pt idx="4">
                  <c:v>-7.2412210236401209E-2</c:v>
                </c:pt>
                <c:pt idx="5">
                  <c:v>-7.0027712641227868E-2</c:v>
                </c:pt>
                <c:pt idx="6">
                  <c:v>-3.5707502374169087E-2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39-4BDE-904C-A8CB1661FD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3522528"/>
        <c:axId val="957494832"/>
      </c:barChart>
      <c:catAx>
        <c:axId val="1033522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7494832"/>
        <c:crosses val="autoZero"/>
        <c:auto val="1"/>
        <c:lblAlgn val="ctr"/>
        <c:lblOffset val="100"/>
        <c:noMultiLvlLbl val="0"/>
      </c:catAx>
      <c:valAx>
        <c:axId val="95749483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3522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/>
              <a:t>Recuperación</a:t>
            </a:r>
            <a:r>
              <a:rPr lang="es-MX" sz="1000" baseline="0"/>
              <a:t> frente a 2019 del gasto del turismo emisor: experiencias vs. cosas por ciudad</a:t>
            </a:r>
            <a:endParaRPr lang="es-MX" sz="1000"/>
          </a:p>
        </c:rich>
      </c:tx>
      <c:layout>
        <c:manualLayout>
          <c:xMode val="edge"/>
          <c:yMode val="edge"/>
          <c:x val="0.13550235988542669"/>
          <c:y val="4.09731113956466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9.6439589652038221E-2"/>
          <c:y val="0.26180236772167192"/>
          <c:w val="0.88701096889161091"/>
          <c:h val="0.497312349400627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Hoja1!$D$39</c:f>
              <c:strCache>
                <c:ptCount val="1"/>
                <c:pt idx="0">
                  <c:v>Experiencias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Hoja1!$C$40:$C$52</c:f>
              <c:strCache>
                <c:ptCount val="13"/>
                <c:pt idx="0">
                  <c:v>Los Cabos</c:v>
                </c:pt>
                <c:pt idx="1">
                  <c:v>Puerto Vallarta</c:v>
                </c:pt>
                <c:pt idx="2">
                  <c:v>Tulum</c:v>
                </c:pt>
                <c:pt idx="3">
                  <c:v>Guayaquil</c:v>
                </c:pt>
                <c:pt idx="4">
                  <c:v>Belo Horizonte</c:v>
                </c:pt>
                <c:pt idx="5">
                  <c:v>Quito</c:v>
                </c:pt>
                <c:pt idx="6">
                  <c:v>Porto Alegre</c:v>
                </c:pt>
                <c:pt idx="7">
                  <c:v>Santiago</c:v>
                </c:pt>
                <c:pt idx="8">
                  <c:v>Rio de Janeiro</c:v>
                </c:pt>
                <c:pt idx="9">
                  <c:v>Guarulhos</c:v>
                </c:pt>
                <c:pt idx="10">
                  <c:v>Curitiba</c:v>
                </c:pt>
                <c:pt idx="11">
                  <c:v>Playa del Carmen</c:v>
                </c:pt>
                <c:pt idx="12">
                  <c:v>Nassau</c:v>
                </c:pt>
              </c:strCache>
            </c:strRef>
          </c:cat>
          <c:val>
            <c:numRef>
              <c:f>Hoja1!$D$40:$D$52</c:f>
              <c:numCache>
                <c:formatCode>0%</c:formatCode>
                <c:ptCount val="13"/>
                <c:pt idx="0">
                  <c:v>7.0899000000000001</c:v>
                </c:pt>
                <c:pt idx="1">
                  <c:v>3.0095000000000001</c:v>
                </c:pt>
                <c:pt idx="2">
                  <c:v>2.6962999999999999</c:v>
                </c:pt>
                <c:pt idx="3">
                  <c:v>2.1800000000000002</c:v>
                </c:pt>
                <c:pt idx="4">
                  <c:v>1.2712999999999999</c:v>
                </c:pt>
                <c:pt idx="5">
                  <c:v>0.95019999999999993</c:v>
                </c:pt>
                <c:pt idx="6">
                  <c:v>0.93099999999999994</c:v>
                </c:pt>
                <c:pt idx="7">
                  <c:v>0.75749999999999995</c:v>
                </c:pt>
                <c:pt idx="8">
                  <c:v>0.63340000000000007</c:v>
                </c:pt>
                <c:pt idx="9">
                  <c:v>0.59099999999999997</c:v>
                </c:pt>
                <c:pt idx="10">
                  <c:v>0.46649999999999997</c:v>
                </c:pt>
                <c:pt idx="11">
                  <c:v>0.3982</c:v>
                </c:pt>
                <c:pt idx="12">
                  <c:v>0.3039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55-4346-A869-E244C27F8747}"/>
            </c:ext>
          </c:extLst>
        </c:ser>
        <c:ser>
          <c:idx val="1"/>
          <c:order val="1"/>
          <c:tx>
            <c:strRef>
              <c:f>Hoja1!$E$39</c:f>
              <c:strCache>
                <c:ptCount val="1"/>
                <c:pt idx="0">
                  <c:v>Cosas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Hoja1!$C$40:$C$52</c:f>
              <c:strCache>
                <c:ptCount val="13"/>
                <c:pt idx="0">
                  <c:v>Los Cabos</c:v>
                </c:pt>
                <c:pt idx="1">
                  <c:v>Puerto Vallarta</c:v>
                </c:pt>
                <c:pt idx="2">
                  <c:v>Tulum</c:v>
                </c:pt>
                <c:pt idx="3">
                  <c:v>Guayaquil</c:v>
                </c:pt>
                <c:pt idx="4">
                  <c:v>Belo Horizonte</c:v>
                </c:pt>
                <c:pt idx="5">
                  <c:v>Quito</c:v>
                </c:pt>
                <c:pt idx="6">
                  <c:v>Porto Alegre</c:v>
                </c:pt>
                <c:pt idx="7">
                  <c:v>Santiago</c:v>
                </c:pt>
                <c:pt idx="8">
                  <c:v>Rio de Janeiro</c:v>
                </c:pt>
                <c:pt idx="9">
                  <c:v>Guarulhos</c:v>
                </c:pt>
                <c:pt idx="10">
                  <c:v>Curitiba</c:v>
                </c:pt>
                <c:pt idx="11">
                  <c:v>Playa del Carmen</c:v>
                </c:pt>
                <c:pt idx="12">
                  <c:v>Nassau</c:v>
                </c:pt>
              </c:strCache>
            </c:strRef>
          </c:cat>
          <c:val>
            <c:numRef>
              <c:f>Hoja1!$E$40:$E$52</c:f>
              <c:numCache>
                <c:formatCode>0%</c:formatCode>
                <c:ptCount val="13"/>
                <c:pt idx="0">
                  <c:v>3.1669999999999998</c:v>
                </c:pt>
                <c:pt idx="1">
                  <c:v>0.51329999999999998</c:v>
                </c:pt>
                <c:pt idx="2">
                  <c:v>0</c:v>
                </c:pt>
                <c:pt idx="3">
                  <c:v>1.7059</c:v>
                </c:pt>
                <c:pt idx="4">
                  <c:v>0.252</c:v>
                </c:pt>
                <c:pt idx="5">
                  <c:v>0.8123999999999999</c:v>
                </c:pt>
                <c:pt idx="6">
                  <c:v>0</c:v>
                </c:pt>
                <c:pt idx="7">
                  <c:v>0.4551</c:v>
                </c:pt>
                <c:pt idx="8">
                  <c:v>0.10890000000000001</c:v>
                </c:pt>
                <c:pt idx="9">
                  <c:v>5.9500000000000004E-2</c:v>
                </c:pt>
                <c:pt idx="10">
                  <c:v>0.37420000000000003</c:v>
                </c:pt>
                <c:pt idx="11">
                  <c:v>0.30980000000000002</c:v>
                </c:pt>
                <c:pt idx="12">
                  <c:v>1.2E-2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55-4346-A869-E244C27F874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098809328"/>
        <c:axId val="1984214720"/>
      </c:barChart>
      <c:catAx>
        <c:axId val="2098809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84214720"/>
        <c:crosses val="autoZero"/>
        <c:auto val="1"/>
        <c:lblAlgn val="ctr"/>
        <c:lblOffset val="100"/>
        <c:noMultiLvlLbl val="0"/>
      </c:catAx>
      <c:valAx>
        <c:axId val="198421472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8809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497187851518561"/>
          <c:y val="0.20128242612439129"/>
          <c:w val="0.38124412927765472"/>
          <c:h val="8.64282617681752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Recuperación frente a 2019 del gasto del turismo emisor: experiencias vs. cosas por pais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2471615205402696"/>
          <c:y val="0.17847485127095727"/>
          <c:w val="0.83961414935492618"/>
          <c:h val="0.727071027965744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Hoja1!$D$57</c:f>
              <c:strCache>
                <c:ptCount val="1"/>
                <c:pt idx="0">
                  <c:v>Experiencias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Hoja1!$C$58:$C$71</c:f>
              <c:strCache>
                <c:ptCount val="14"/>
                <c:pt idx="0">
                  <c:v>El Salvador</c:v>
                </c:pt>
                <c:pt idx="1">
                  <c:v>Costa Rica</c:v>
                </c:pt>
                <c:pt idx="2">
                  <c:v>Guatemala</c:v>
                </c:pt>
                <c:pt idx="3">
                  <c:v>Mexico</c:v>
                </c:pt>
                <c:pt idx="4">
                  <c:v>Jamaica</c:v>
                </c:pt>
                <c:pt idx="5">
                  <c:v>Ecuador</c:v>
                </c:pt>
                <c:pt idx="6">
                  <c:v>Colombia</c:v>
                </c:pt>
                <c:pt idx="7">
                  <c:v>Panama</c:v>
                </c:pt>
                <c:pt idx="8">
                  <c:v>Aruba</c:v>
                </c:pt>
                <c:pt idx="9">
                  <c:v>Bolivia</c:v>
                </c:pt>
                <c:pt idx="10">
                  <c:v>Bahamas</c:v>
                </c:pt>
                <c:pt idx="11">
                  <c:v>Brasil</c:v>
                </c:pt>
                <c:pt idx="12">
                  <c:v>Barbados</c:v>
                </c:pt>
                <c:pt idx="13">
                  <c:v>Peru</c:v>
                </c:pt>
              </c:strCache>
            </c:strRef>
          </c:cat>
          <c:val>
            <c:numRef>
              <c:f>Hoja1!$D$58:$D$71</c:f>
              <c:numCache>
                <c:formatCode>0%</c:formatCode>
                <c:ptCount val="14"/>
                <c:pt idx="0">
                  <c:v>2.1377199999999998</c:v>
                </c:pt>
                <c:pt idx="1">
                  <c:v>1.4444699999999999</c:v>
                </c:pt>
                <c:pt idx="2">
                  <c:v>1.1756</c:v>
                </c:pt>
                <c:pt idx="3">
                  <c:v>1.16608</c:v>
                </c:pt>
                <c:pt idx="4">
                  <c:v>1.0594600000000001</c:v>
                </c:pt>
                <c:pt idx="5">
                  <c:v>0.94206999999999996</c:v>
                </c:pt>
                <c:pt idx="6">
                  <c:v>0.78259000000000001</c:v>
                </c:pt>
                <c:pt idx="7">
                  <c:v>0.74919999999999998</c:v>
                </c:pt>
                <c:pt idx="8">
                  <c:v>0.70084999999999997</c:v>
                </c:pt>
                <c:pt idx="9">
                  <c:v>0.43207000000000001</c:v>
                </c:pt>
                <c:pt idx="10">
                  <c:v>0.40226000000000001</c:v>
                </c:pt>
                <c:pt idx="11">
                  <c:v>0.4012</c:v>
                </c:pt>
                <c:pt idx="12">
                  <c:v>0.25659999999999999</c:v>
                </c:pt>
                <c:pt idx="13">
                  <c:v>4.6500000000000007E-2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A6-43B6-A710-67084C96246A}"/>
            </c:ext>
          </c:extLst>
        </c:ser>
        <c:ser>
          <c:idx val="1"/>
          <c:order val="1"/>
          <c:tx>
            <c:strRef>
              <c:f>Hoja1!$E$57</c:f>
              <c:strCache>
                <c:ptCount val="1"/>
                <c:pt idx="0">
                  <c:v>Cosas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Hoja1!$C$58:$C$71</c:f>
              <c:strCache>
                <c:ptCount val="14"/>
                <c:pt idx="0">
                  <c:v>El Salvador</c:v>
                </c:pt>
                <c:pt idx="1">
                  <c:v>Costa Rica</c:v>
                </c:pt>
                <c:pt idx="2">
                  <c:v>Guatemala</c:v>
                </c:pt>
                <c:pt idx="3">
                  <c:v>Mexico</c:v>
                </c:pt>
                <c:pt idx="4">
                  <c:v>Jamaica</c:v>
                </c:pt>
                <c:pt idx="5">
                  <c:v>Ecuador</c:v>
                </c:pt>
                <c:pt idx="6">
                  <c:v>Colombia</c:v>
                </c:pt>
                <c:pt idx="7">
                  <c:v>Panama</c:v>
                </c:pt>
                <c:pt idx="8">
                  <c:v>Aruba</c:v>
                </c:pt>
                <c:pt idx="9">
                  <c:v>Bolivia</c:v>
                </c:pt>
                <c:pt idx="10">
                  <c:v>Bahamas</c:v>
                </c:pt>
                <c:pt idx="11">
                  <c:v>Brasil</c:v>
                </c:pt>
                <c:pt idx="12">
                  <c:v>Barbados</c:v>
                </c:pt>
                <c:pt idx="13">
                  <c:v>Peru</c:v>
                </c:pt>
              </c:strCache>
            </c:strRef>
          </c:cat>
          <c:val>
            <c:numRef>
              <c:f>Hoja1!$E$58:$E$71</c:f>
              <c:numCache>
                <c:formatCode>0%</c:formatCode>
                <c:ptCount val="14"/>
                <c:pt idx="0">
                  <c:v>1.2919800000000001</c:v>
                </c:pt>
                <c:pt idx="1">
                  <c:v>1.0714300000000001</c:v>
                </c:pt>
                <c:pt idx="2">
                  <c:v>0.84224999999999994</c:v>
                </c:pt>
                <c:pt idx="3">
                  <c:v>0.65142</c:v>
                </c:pt>
                <c:pt idx="4">
                  <c:v>0.35918999999999995</c:v>
                </c:pt>
                <c:pt idx="5">
                  <c:v>0.63539000000000001</c:v>
                </c:pt>
                <c:pt idx="6">
                  <c:v>0.69530000000000003</c:v>
                </c:pt>
                <c:pt idx="7">
                  <c:v>0.5232</c:v>
                </c:pt>
                <c:pt idx="8">
                  <c:v>0.46307000000000004</c:v>
                </c:pt>
                <c:pt idx="9">
                  <c:v>0.25934999999999997</c:v>
                </c:pt>
                <c:pt idx="10">
                  <c:v>0.36286000000000002</c:v>
                </c:pt>
                <c:pt idx="11">
                  <c:v>0.42355999999999999</c:v>
                </c:pt>
                <c:pt idx="12">
                  <c:v>0.25659999999999999</c:v>
                </c:pt>
                <c:pt idx="13">
                  <c:v>-9.9000000000000005E-2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A6-43B6-A710-67084C96246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104329664"/>
        <c:axId val="1781230640"/>
      </c:barChart>
      <c:catAx>
        <c:axId val="2104329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81230640"/>
        <c:crosses val="autoZero"/>
        <c:auto val="1"/>
        <c:lblAlgn val="ctr"/>
        <c:lblOffset val="100"/>
        <c:noMultiLvlLbl val="0"/>
      </c:catAx>
      <c:valAx>
        <c:axId val="178123064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04329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8679167912999637"/>
          <c:y val="0.18401774953901448"/>
          <c:w val="0.36934512399433217"/>
          <c:h val="9.12661877243711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900"/>
              <a:t>Llegadas</a:t>
            </a:r>
            <a:r>
              <a:rPr lang="es-MX" sz="900" baseline="0"/>
              <a:t> de turistas internacionales a LAC (miles) </a:t>
            </a:r>
            <a:endParaRPr lang="es-MX" sz="900"/>
          </a:p>
        </c:rich>
      </c:tx>
      <c:layout>
        <c:manualLayout>
          <c:xMode val="edge"/>
          <c:yMode val="edge"/>
          <c:x val="0.1274018065378994"/>
          <c:y val="4.40366972477064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Hoja1!$C$24</c:f>
              <c:strCache>
                <c:ptCount val="1"/>
                <c:pt idx="0">
                  <c:v>2023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strRef>
              <c:f>Hoja1!$B$25:$B$31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Hoja1!$C$25:$C$31</c:f>
              <c:numCache>
                <c:formatCode>_-* #,##0_-;\-* #,##0_-;_-* "-"??_-;_-@_-</c:formatCode>
                <c:ptCount val="7"/>
                <c:pt idx="0">
                  <c:v>10139</c:v>
                </c:pt>
                <c:pt idx="1">
                  <c:v>9268</c:v>
                </c:pt>
                <c:pt idx="2">
                  <c:v>9729</c:v>
                </c:pt>
                <c:pt idx="3">
                  <c:v>8946</c:v>
                </c:pt>
                <c:pt idx="4">
                  <c:v>8083</c:v>
                </c:pt>
                <c:pt idx="5">
                  <c:v>8725</c:v>
                </c:pt>
                <c:pt idx="6">
                  <c:v>10154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E30-440A-9427-FDF6406B5BFB}"/>
            </c:ext>
          </c:extLst>
        </c:ser>
        <c:ser>
          <c:idx val="1"/>
          <c:order val="1"/>
          <c:tx>
            <c:strRef>
              <c:f>Hoja1!$D$24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cat>
            <c:strRef>
              <c:f>Hoja1!$B$25:$B$31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Hoja1!$D$25:$D$31</c:f>
              <c:numCache>
                <c:formatCode>_-* #,##0_-;\-* #,##0_-;_-* "-"??_-;_-@_-</c:formatCode>
                <c:ptCount val="7"/>
                <c:pt idx="0">
                  <c:v>10941</c:v>
                </c:pt>
                <c:pt idx="1">
                  <c:v>10131</c:v>
                </c:pt>
                <c:pt idx="2">
                  <c:v>11099</c:v>
                </c:pt>
                <c:pt idx="3">
                  <c:v>9770</c:v>
                </c:pt>
                <c:pt idx="4">
                  <c:v>8714</c:v>
                </c:pt>
                <c:pt idx="5">
                  <c:v>9382</c:v>
                </c:pt>
                <c:pt idx="6">
                  <c:v>10530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E30-440A-9427-FDF6406B5B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14119904"/>
        <c:axId val="1008404864"/>
      </c:lineChart>
      <c:catAx>
        <c:axId val="1014119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8404864"/>
        <c:crosses val="autoZero"/>
        <c:auto val="1"/>
        <c:lblAlgn val="ctr"/>
        <c:lblOffset val="100"/>
        <c:noMultiLvlLbl val="0"/>
      </c:catAx>
      <c:valAx>
        <c:axId val="1008404864"/>
        <c:scaling>
          <c:orientation val="minMax"/>
          <c:min val="7000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4119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904560043301293"/>
          <c:y val="0.84983890775120996"/>
          <c:w val="0.38545301660710529"/>
          <c:h val="0.106124395001083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Recuperación del turismo internacional (2023 vs. 2022)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Hoja2!$P$22:$P$33</c:f>
              <c:strCache>
                <c:ptCount val="12"/>
                <c:pt idx="0">
                  <c:v>Mexico</c:v>
                </c:pt>
                <c:pt idx="1">
                  <c:v>R. Dominicana</c:v>
                </c:pt>
                <c:pt idx="2">
                  <c:v>Argentina</c:v>
                </c:pt>
                <c:pt idx="3">
                  <c:v>Brasil</c:v>
                </c:pt>
                <c:pt idx="4">
                  <c:v>Colombia</c:v>
                </c:pt>
                <c:pt idx="5">
                  <c:v>Chile</c:v>
                </c:pt>
                <c:pt idx="6">
                  <c:v>Costa Rica</c:v>
                </c:pt>
                <c:pt idx="7">
                  <c:v>Perú</c:v>
                </c:pt>
                <c:pt idx="8">
                  <c:v>Ecuador</c:v>
                </c:pt>
                <c:pt idx="9">
                  <c:v>Bahamas</c:v>
                </c:pt>
                <c:pt idx="10">
                  <c:v>Aruba</c:v>
                </c:pt>
                <c:pt idx="11">
                  <c:v>Honduras</c:v>
                </c:pt>
              </c:strCache>
            </c:strRef>
          </c:cat>
          <c:val>
            <c:numRef>
              <c:f>Hoja2!$Q$22:$Q$33</c:f>
              <c:numCache>
                <c:formatCode>0%</c:formatCode>
                <c:ptCount val="12"/>
                <c:pt idx="0">
                  <c:v>-8.2362189146853115E-2</c:v>
                </c:pt>
                <c:pt idx="1">
                  <c:v>0.17113308882012057</c:v>
                </c:pt>
                <c:pt idx="2">
                  <c:v>-3.0317727833665375E-2</c:v>
                </c:pt>
                <c:pt idx="3">
                  <c:v>-8.4114891565685412E-2</c:v>
                </c:pt>
                <c:pt idx="4">
                  <c:v>0.22846183690375077</c:v>
                </c:pt>
                <c:pt idx="5">
                  <c:v>-0.26986636135785957</c:v>
                </c:pt>
                <c:pt idx="6">
                  <c:v>-0.13076224140359105</c:v>
                </c:pt>
                <c:pt idx="7">
                  <c:v>-0.48729995130441228</c:v>
                </c:pt>
                <c:pt idx="8">
                  <c:v>-0.3803350937180332</c:v>
                </c:pt>
                <c:pt idx="9">
                  <c:v>-7.1123638790042576E-2</c:v>
                </c:pt>
                <c:pt idx="10">
                  <c:v>6.3805287190791482E-2</c:v>
                </c:pt>
                <c:pt idx="11">
                  <c:v>0.17227243519087443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FA-4533-B314-4BCF40C532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0618719"/>
        <c:axId val="645035647"/>
      </c:barChart>
      <c:catAx>
        <c:axId val="7606187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035647"/>
        <c:crosses val="autoZero"/>
        <c:auto val="1"/>
        <c:lblAlgn val="ctr"/>
        <c:lblOffset val="100"/>
        <c:noMultiLvlLbl val="0"/>
      </c:catAx>
      <c:valAx>
        <c:axId val="645035647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6187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>
                <a:effectLst/>
              </a:rPr>
              <a:t>Llegada de turistas internacionales por pais (enero-jun 23)</a:t>
            </a:r>
            <a:endParaRPr lang="es-MX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3200442827638101"/>
          <c:y val="0.16909898477157356"/>
          <c:w val="0.83850890773755815"/>
          <c:h val="0.4995063751548822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Hoja1!$C$21:$C$36</c:f>
              <c:strCache>
                <c:ptCount val="16"/>
                <c:pt idx="0">
                  <c:v>Mexico</c:v>
                </c:pt>
                <c:pt idx="1">
                  <c:v>R. Dominicana</c:v>
                </c:pt>
                <c:pt idx="2">
                  <c:v>Argentina</c:v>
                </c:pt>
                <c:pt idx="3">
                  <c:v>Brasil</c:v>
                </c:pt>
                <c:pt idx="4">
                  <c:v>Colombia</c:v>
                </c:pt>
                <c:pt idx="5">
                  <c:v>Chile</c:v>
                </c:pt>
                <c:pt idx="6">
                  <c:v>Costa Rica</c:v>
                </c:pt>
                <c:pt idx="7">
                  <c:v>Cuba</c:v>
                </c:pt>
                <c:pt idx="8">
                  <c:v>El Salvador </c:v>
                </c:pt>
                <c:pt idx="9">
                  <c:v>Perú</c:v>
                </c:pt>
                <c:pt idx="10">
                  <c:v>Bahamas</c:v>
                </c:pt>
                <c:pt idx="11">
                  <c:v>Guatemala</c:v>
                </c:pt>
                <c:pt idx="12">
                  <c:v>Panama</c:v>
                </c:pt>
                <c:pt idx="13">
                  <c:v>Ecuador</c:v>
                </c:pt>
                <c:pt idx="14">
                  <c:v>Aruba</c:v>
                </c:pt>
                <c:pt idx="15">
                  <c:v>Honduras</c:v>
                </c:pt>
              </c:strCache>
            </c:strRef>
          </c:cat>
          <c:val>
            <c:numRef>
              <c:f>Hoja1!$D$21:$D$36</c:f>
              <c:numCache>
                <c:formatCode>_-* #,##0_-;\-* #,##0_-;_-* "-"??_-;_-@_-</c:formatCode>
                <c:ptCount val="16"/>
                <c:pt idx="0">
                  <c:v>20097694</c:v>
                </c:pt>
                <c:pt idx="1">
                  <c:v>4086697</c:v>
                </c:pt>
                <c:pt idx="2">
                  <c:v>3550175</c:v>
                </c:pt>
                <c:pt idx="3">
                  <c:v>3279807</c:v>
                </c:pt>
                <c:pt idx="4">
                  <c:v>2434876</c:v>
                </c:pt>
                <c:pt idx="5">
                  <c:v>1832830</c:v>
                </c:pt>
                <c:pt idx="6">
                  <c:v>1489457</c:v>
                </c:pt>
                <c:pt idx="7">
                  <c:v>1298539</c:v>
                </c:pt>
                <c:pt idx="8">
                  <c:v>1074852</c:v>
                </c:pt>
                <c:pt idx="9">
                  <c:v>1064543</c:v>
                </c:pt>
                <c:pt idx="10">
                  <c:v>1002461</c:v>
                </c:pt>
                <c:pt idx="11">
                  <c:v>984805</c:v>
                </c:pt>
                <c:pt idx="12">
                  <c:v>946130</c:v>
                </c:pt>
                <c:pt idx="13">
                  <c:v>699188</c:v>
                </c:pt>
                <c:pt idx="14">
                  <c:v>610582</c:v>
                </c:pt>
                <c:pt idx="15">
                  <c:v>410307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54-4306-BD1E-9B547DAF61C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19188576"/>
        <c:axId val="1138351344"/>
      </c:barChart>
      <c:catAx>
        <c:axId val="1119188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8351344"/>
        <c:crosses val="autoZero"/>
        <c:auto val="1"/>
        <c:lblAlgn val="ctr"/>
        <c:lblOffset val="100"/>
        <c:noMultiLvlLbl val="0"/>
      </c:catAx>
      <c:valAx>
        <c:axId val="1138351344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9188576"/>
        <c:crosses val="autoZero"/>
        <c:crossBetween val="between"/>
        <c:dispUnits>
          <c:builtInUnit val="millions"/>
          <c:dispUnitsLbl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900"/>
              <a:t>Llegadas</a:t>
            </a:r>
            <a:r>
              <a:rPr lang="es-MX" sz="900" baseline="0"/>
              <a:t> de turistas internacionales a LAC (miles) </a:t>
            </a:r>
            <a:endParaRPr lang="es-MX" sz="900"/>
          </a:p>
        </c:rich>
      </c:tx>
      <c:layout>
        <c:manualLayout>
          <c:xMode val="edge"/>
          <c:yMode val="edge"/>
          <c:x val="0.1274018065378994"/>
          <c:y val="4.40366972477064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Hoja1!$C$24</c:f>
              <c:strCache>
                <c:ptCount val="1"/>
                <c:pt idx="0">
                  <c:v>2023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strRef>
              <c:f>Hoja1!$B$25:$B$31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Hoja1!$C$25:$C$31</c:f>
              <c:numCache>
                <c:formatCode>_-* #,##0_-;\-* #,##0_-;_-* "-"??_-;_-@_-</c:formatCode>
                <c:ptCount val="7"/>
                <c:pt idx="0">
                  <c:v>10139</c:v>
                </c:pt>
                <c:pt idx="1">
                  <c:v>9268</c:v>
                </c:pt>
                <c:pt idx="2">
                  <c:v>9729</c:v>
                </c:pt>
                <c:pt idx="3">
                  <c:v>8946</c:v>
                </c:pt>
                <c:pt idx="4">
                  <c:v>8083</c:v>
                </c:pt>
                <c:pt idx="5">
                  <c:v>8725</c:v>
                </c:pt>
                <c:pt idx="6">
                  <c:v>10154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7C9-4C3F-BF00-A9B42B2987E9}"/>
            </c:ext>
          </c:extLst>
        </c:ser>
        <c:ser>
          <c:idx val="1"/>
          <c:order val="1"/>
          <c:tx>
            <c:strRef>
              <c:f>Hoja1!$D$24</c:f>
              <c:strCache>
                <c:ptCount val="1"/>
                <c:pt idx="0">
                  <c:v>2019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cat>
            <c:strRef>
              <c:f>Hoja1!$B$25:$B$31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Hoja1!$D$25:$D$31</c:f>
              <c:numCache>
                <c:formatCode>_-* #,##0_-;\-* #,##0_-;_-* "-"??_-;_-@_-</c:formatCode>
                <c:ptCount val="7"/>
                <c:pt idx="0">
                  <c:v>10941</c:v>
                </c:pt>
                <c:pt idx="1">
                  <c:v>10131</c:v>
                </c:pt>
                <c:pt idx="2">
                  <c:v>11099</c:v>
                </c:pt>
                <c:pt idx="3">
                  <c:v>9770</c:v>
                </c:pt>
                <c:pt idx="4">
                  <c:v>8714</c:v>
                </c:pt>
                <c:pt idx="5">
                  <c:v>9382</c:v>
                </c:pt>
                <c:pt idx="6">
                  <c:v>10530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7C9-4C3F-BF00-A9B42B2987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14119904"/>
        <c:axId val="1008404864"/>
      </c:lineChart>
      <c:catAx>
        <c:axId val="1014119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8404864"/>
        <c:crosses val="autoZero"/>
        <c:auto val="1"/>
        <c:lblAlgn val="ctr"/>
        <c:lblOffset val="100"/>
        <c:noMultiLvlLbl val="0"/>
      </c:catAx>
      <c:valAx>
        <c:axId val="1008404864"/>
        <c:scaling>
          <c:orientation val="minMax"/>
          <c:min val="7000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4119904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2904560043301293"/>
          <c:y val="0.84983890775120996"/>
          <c:w val="0.38545301660710529"/>
          <c:h val="0.106124395001083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800" baseline="0"/>
              <a:t>Crecimiento en número de turistas internacionales en LAC  (2023 vs.2019)</a:t>
            </a:r>
            <a:endParaRPr lang="es-MX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Hoja1!$B$33:$B$39</c:f>
              <c:strCache>
                <c:ptCount val="7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</c:strCache>
            </c:strRef>
          </c:cat>
          <c:val>
            <c:numRef>
              <c:f>Hoja1!$C$33:$C$39</c:f>
              <c:numCache>
                <c:formatCode>0%</c:formatCode>
                <c:ptCount val="7"/>
                <c:pt idx="0">
                  <c:v>-7.3302257563294004E-2</c:v>
                </c:pt>
                <c:pt idx="1">
                  <c:v>-8.5184088441417449E-2</c:v>
                </c:pt>
                <c:pt idx="2">
                  <c:v>-0.12343454365258133</c:v>
                </c:pt>
                <c:pt idx="3">
                  <c:v>-8.433981576253835E-2</c:v>
                </c:pt>
                <c:pt idx="4">
                  <c:v>-7.2412210236401209E-2</c:v>
                </c:pt>
                <c:pt idx="5">
                  <c:v>-7.0027712641227868E-2</c:v>
                </c:pt>
                <c:pt idx="6">
                  <c:v>-3.5707502374169087E-2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D0-46B8-ABA8-EC994C05A2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3522528"/>
        <c:axId val="957494832"/>
      </c:barChart>
      <c:catAx>
        <c:axId val="1033522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7494832"/>
        <c:crosses val="autoZero"/>
        <c:auto val="1"/>
        <c:lblAlgn val="ctr"/>
        <c:lblOffset val="100"/>
        <c:noMultiLvlLbl val="0"/>
      </c:catAx>
      <c:valAx>
        <c:axId val="95749483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3522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Recuperación del turismo internacional (2023 vs. 2022)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Hoja2!$P$22:$P$33</c:f>
              <c:strCache>
                <c:ptCount val="12"/>
                <c:pt idx="0">
                  <c:v>Mexico</c:v>
                </c:pt>
                <c:pt idx="1">
                  <c:v>R. Dominicana</c:v>
                </c:pt>
                <c:pt idx="2">
                  <c:v>Argentina</c:v>
                </c:pt>
                <c:pt idx="3">
                  <c:v>Brasil</c:v>
                </c:pt>
                <c:pt idx="4">
                  <c:v>Colombia</c:v>
                </c:pt>
                <c:pt idx="5">
                  <c:v>Chile</c:v>
                </c:pt>
                <c:pt idx="6">
                  <c:v>Costa Rica</c:v>
                </c:pt>
                <c:pt idx="7">
                  <c:v>Perú</c:v>
                </c:pt>
                <c:pt idx="8">
                  <c:v>Ecuador</c:v>
                </c:pt>
                <c:pt idx="9">
                  <c:v>Bahamas</c:v>
                </c:pt>
                <c:pt idx="10">
                  <c:v>Aruba</c:v>
                </c:pt>
                <c:pt idx="11">
                  <c:v>Honduras</c:v>
                </c:pt>
              </c:strCache>
            </c:strRef>
          </c:cat>
          <c:val>
            <c:numRef>
              <c:f>Hoja2!$Q$22:$Q$33</c:f>
              <c:numCache>
                <c:formatCode>0%</c:formatCode>
                <c:ptCount val="12"/>
                <c:pt idx="0">
                  <c:v>-8.2362189146853115E-2</c:v>
                </c:pt>
                <c:pt idx="1">
                  <c:v>0.17113308882012057</c:v>
                </c:pt>
                <c:pt idx="2">
                  <c:v>-3.0317727833665375E-2</c:v>
                </c:pt>
                <c:pt idx="3">
                  <c:v>-8.4114891565685412E-2</c:v>
                </c:pt>
                <c:pt idx="4">
                  <c:v>0.22846183690375077</c:v>
                </c:pt>
                <c:pt idx="5">
                  <c:v>-0.26986636135785957</c:v>
                </c:pt>
                <c:pt idx="6">
                  <c:v>-0.13076224140359105</c:v>
                </c:pt>
                <c:pt idx="7">
                  <c:v>-0.48729995130441228</c:v>
                </c:pt>
                <c:pt idx="8">
                  <c:v>-0.3803350937180332</c:v>
                </c:pt>
                <c:pt idx="9">
                  <c:v>-7.1123638790042576E-2</c:v>
                </c:pt>
                <c:pt idx="10">
                  <c:v>6.3805287190791482E-2</c:v>
                </c:pt>
                <c:pt idx="11">
                  <c:v>0.17227243519087443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8F-447A-89F7-F626600F04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0618719"/>
        <c:axId val="645035647"/>
      </c:barChart>
      <c:catAx>
        <c:axId val="7606187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035647"/>
        <c:crosses val="autoZero"/>
        <c:auto val="1"/>
        <c:lblAlgn val="ctr"/>
        <c:lblOffset val="100"/>
        <c:noMultiLvlLbl val="0"/>
      </c:catAx>
      <c:valAx>
        <c:axId val="645035647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6187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>
                <a:effectLst/>
              </a:rPr>
              <a:t>Llegada de turistas internacionales por pais (enero-jun 23)</a:t>
            </a:r>
            <a:endParaRPr lang="es-MX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3200442827638101"/>
          <c:y val="0.16909898477157356"/>
          <c:w val="0.83850890773755815"/>
          <c:h val="0.4995063751548822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Hoja1!$C$21:$C$36</c:f>
              <c:strCache>
                <c:ptCount val="16"/>
                <c:pt idx="0">
                  <c:v>Mexico</c:v>
                </c:pt>
                <c:pt idx="1">
                  <c:v>R. Dominicana</c:v>
                </c:pt>
                <c:pt idx="2">
                  <c:v>Argentina</c:v>
                </c:pt>
                <c:pt idx="3">
                  <c:v>Brasil</c:v>
                </c:pt>
                <c:pt idx="4">
                  <c:v>Colombia</c:v>
                </c:pt>
                <c:pt idx="5">
                  <c:v>Chile</c:v>
                </c:pt>
                <c:pt idx="6">
                  <c:v>Costa Rica</c:v>
                </c:pt>
                <c:pt idx="7">
                  <c:v>Cuba</c:v>
                </c:pt>
                <c:pt idx="8">
                  <c:v>El Salvador </c:v>
                </c:pt>
                <c:pt idx="9">
                  <c:v>Perú</c:v>
                </c:pt>
                <c:pt idx="10">
                  <c:v>Bahamas</c:v>
                </c:pt>
                <c:pt idx="11">
                  <c:v>Guatemala</c:v>
                </c:pt>
                <c:pt idx="12">
                  <c:v>Panama</c:v>
                </c:pt>
                <c:pt idx="13">
                  <c:v>Ecuador</c:v>
                </c:pt>
                <c:pt idx="14">
                  <c:v>Aruba</c:v>
                </c:pt>
                <c:pt idx="15">
                  <c:v>Honduras</c:v>
                </c:pt>
              </c:strCache>
            </c:strRef>
          </c:cat>
          <c:val>
            <c:numRef>
              <c:f>Hoja1!$D$21:$D$36</c:f>
              <c:numCache>
                <c:formatCode>_-* #,##0_-;\-* #,##0_-;_-* "-"??_-;_-@_-</c:formatCode>
                <c:ptCount val="16"/>
                <c:pt idx="0">
                  <c:v>20097694</c:v>
                </c:pt>
                <c:pt idx="1">
                  <c:v>4086697</c:v>
                </c:pt>
                <c:pt idx="2">
                  <c:v>3550175</c:v>
                </c:pt>
                <c:pt idx="3">
                  <c:v>3279807</c:v>
                </c:pt>
                <c:pt idx="4">
                  <c:v>2434876</c:v>
                </c:pt>
                <c:pt idx="5">
                  <c:v>1832830</c:v>
                </c:pt>
                <c:pt idx="6">
                  <c:v>1489457</c:v>
                </c:pt>
                <c:pt idx="7">
                  <c:v>1298539</c:v>
                </c:pt>
                <c:pt idx="8">
                  <c:v>1074852</c:v>
                </c:pt>
                <c:pt idx="9">
                  <c:v>1064543</c:v>
                </c:pt>
                <c:pt idx="10">
                  <c:v>1002461</c:v>
                </c:pt>
                <c:pt idx="11">
                  <c:v>984805</c:v>
                </c:pt>
                <c:pt idx="12">
                  <c:v>946130</c:v>
                </c:pt>
                <c:pt idx="13">
                  <c:v>699188</c:v>
                </c:pt>
                <c:pt idx="14">
                  <c:v>610582</c:v>
                </c:pt>
                <c:pt idx="15">
                  <c:v>410307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75-4078-B3C5-06377E82DA2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19188576"/>
        <c:axId val="1138351344"/>
      </c:barChart>
      <c:catAx>
        <c:axId val="1119188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8351344"/>
        <c:crosses val="autoZero"/>
        <c:auto val="1"/>
        <c:lblAlgn val="ctr"/>
        <c:lblOffset val="100"/>
        <c:noMultiLvlLbl val="0"/>
      </c:catAx>
      <c:valAx>
        <c:axId val="1138351344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9188576"/>
        <c:crosses val="autoZero"/>
        <c:crossBetween val="between"/>
        <c:dispUnits>
          <c:builtInUnit val="millions"/>
          <c:dispUnitsLbl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/>
              <a:t>Reservas</a:t>
            </a:r>
            <a:r>
              <a:rPr lang="es-MX" sz="1000" baseline="0"/>
              <a:t> de viajes de ocio vs marzo 2019 </a:t>
            </a:r>
            <a:endParaRPr lang="es-MX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'618'!$L$22:$L$27</c:f>
              <c:strCache>
                <c:ptCount val="6"/>
                <c:pt idx="0">
                  <c:v>Brasil</c:v>
                </c:pt>
                <c:pt idx="1">
                  <c:v>Mexico</c:v>
                </c:pt>
                <c:pt idx="2">
                  <c:v>Colombia</c:v>
                </c:pt>
                <c:pt idx="3">
                  <c:v>Costa Rica</c:v>
                </c:pt>
                <c:pt idx="4">
                  <c:v>Jamaica</c:v>
                </c:pt>
                <c:pt idx="5">
                  <c:v>R. Dominicana</c:v>
                </c:pt>
              </c:strCache>
            </c:strRef>
          </c:cat>
          <c:val>
            <c:numRef>
              <c:f>'618'!$M$22:$M$27</c:f>
              <c:numCache>
                <c:formatCode>0%</c:formatCode>
                <c:ptCount val="6"/>
                <c:pt idx="0">
                  <c:v>0.375</c:v>
                </c:pt>
                <c:pt idx="1">
                  <c:v>0.43</c:v>
                </c:pt>
                <c:pt idx="2">
                  <c:v>0.98799999999999999</c:v>
                </c:pt>
                <c:pt idx="3">
                  <c:v>1.0728</c:v>
                </c:pt>
                <c:pt idx="4">
                  <c:v>1.29</c:v>
                </c:pt>
                <c:pt idx="5">
                  <c:v>2.2605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F4-4A99-937F-CE3DDCF0E3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63217903"/>
        <c:axId val="923257327"/>
      </c:barChart>
      <c:catAx>
        <c:axId val="46321790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23257327"/>
        <c:crosses val="autoZero"/>
        <c:auto val="1"/>
        <c:lblAlgn val="ctr"/>
        <c:lblOffset val="100"/>
        <c:noMultiLvlLbl val="0"/>
      </c:catAx>
      <c:valAx>
        <c:axId val="923257327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46321790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 Sarmiento Arguello</dc:creator>
  <cp:lastModifiedBy>Juan Sarmiento</cp:lastModifiedBy>
  <cp:revision>2</cp:revision>
  <dcterms:created xsi:type="dcterms:W3CDTF">2023-09-27T17:36:00Z</dcterms:created>
  <dcterms:modified xsi:type="dcterms:W3CDTF">2023-09-27T17:36:00Z</dcterms:modified>
</cp:coreProperties>
</file>