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76F0" w14:textId="346E2DE4" w:rsidR="007A5754" w:rsidRPr="00403E14" w:rsidRDefault="007A5754" w:rsidP="00403E14">
      <w:pPr>
        <w:jc w:val="both"/>
        <w:rPr>
          <w:rFonts w:ascii="Calibri" w:eastAsia="Times New Roman" w:hAnsi="Calibri" w:cs="Calibri"/>
          <w:b/>
          <w:bCs/>
          <w:color w:val="212121"/>
          <w:kern w:val="0"/>
          <w:lang w:eastAsia="pt-BR"/>
          <w14:ligatures w14:val="none"/>
        </w:rPr>
      </w:pPr>
      <w:r w:rsidRPr="00403E14">
        <w:rPr>
          <w:rFonts w:ascii="Calibri" w:eastAsia="Times New Roman" w:hAnsi="Calibri" w:cs="Calibri"/>
          <w:b/>
          <w:bCs/>
          <w:color w:val="212121"/>
          <w:kern w:val="0"/>
          <w:lang w:eastAsia="pt-BR"/>
          <w14:ligatures w14:val="none"/>
        </w:rPr>
        <w:t xml:space="preserve">Tráfego de passageiros da LAC atinge níveis </w:t>
      </w:r>
      <w:proofErr w:type="spellStart"/>
      <w:r w:rsidRPr="00403E14">
        <w:rPr>
          <w:rFonts w:ascii="Calibri" w:eastAsia="Times New Roman" w:hAnsi="Calibri" w:cs="Calibri"/>
          <w:b/>
          <w:bCs/>
          <w:color w:val="212121"/>
          <w:kern w:val="0"/>
          <w:lang w:eastAsia="pt-BR"/>
          <w14:ligatures w14:val="none"/>
        </w:rPr>
        <w:t>pré</w:t>
      </w:r>
      <w:proofErr w:type="spellEnd"/>
      <w:r w:rsidRPr="00403E14">
        <w:rPr>
          <w:rFonts w:ascii="Calibri" w:eastAsia="Times New Roman" w:hAnsi="Calibri" w:cs="Calibri"/>
          <w:b/>
          <w:bCs/>
          <w:color w:val="212121"/>
          <w:kern w:val="0"/>
          <w:lang w:eastAsia="pt-BR"/>
          <w14:ligatures w14:val="none"/>
        </w:rPr>
        <w:t>-pandêmicos pela terceira vez</w:t>
      </w:r>
    </w:p>
    <w:p w14:paraId="75318583" w14:textId="77777777" w:rsidR="007A5754" w:rsidRPr="00403E14" w:rsidRDefault="007A5754" w:rsidP="00403E14">
      <w:pPr>
        <w:jc w:val="both"/>
        <w:rPr>
          <w:rFonts w:ascii="Calibri" w:eastAsia="Times New Roman" w:hAnsi="Calibri" w:cs="Calibri"/>
          <w:b/>
          <w:bCs/>
          <w:color w:val="212121"/>
          <w:kern w:val="0"/>
          <w:sz w:val="28"/>
          <w:szCs w:val="28"/>
          <w:lang w:eastAsia="pt-BR"/>
          <w14:ligatures w14:val="none"/>
        </w:rPr>
      </w:pPr>
      <w:r w:rsidRPr="00403E14">
        <w:rPr>
          <w:rFonts w:ascii="Calibri" w:eastAsia="Times New Roman" w:hAnsi="Calibri" w:cs="Calibri"/>
          <w:b/>
          <w:bCs/>
          <w:color w:val="212121"/>
          <w:kern w:val="0"/>
          <w:sz w:val="28"/>
          <w:szCs w:val="28"/>
          <w:lang w:eastAsia="pt-BR"/>
          <w14:ligatures w14:val="none"/>
        </w:rPr>
        <w:t xml:space="preserve"> </w:t>
      </w:r>
    </w:p>
    <w:p w14:paraId="07DBF8DE" w14:textId="77777777" w:rsidR="007A5754" w:rsidRPr="00403E14" w:rsidRDefault="007A5754" w:rsidP="00403E14">
      <w:pPr>
        <w:jc w:val="both"/>
        <w:rPr>
          <w:rFonts w:ascii="Calibri" w:eastAsia="Times New Roman" w:hAnsi="Calibri" w:cs="Calibri"/>
          <w:i/>
          <w:iCs/>
          <w:color w:val="212121"/>
          <w:kern w:val="0"/>
          <w:lang w:eastAsia="pt-BR"/>
          <w14:ligatures w14:val="none"/>
        </w:rPr>
      </w:pPr>
      <w:r w:rsidRPr="00403E14">
        <w:rPr>
          <w:rFonts w:ascii="Calibri" w:eastAsia="Times New Roman" w:hAnsi="Calibri" w:cs="Calibri"/>
          <w:i/>
          <w:iCs/>
          <w:color w:val="212121"/>
          <w:kern w:val="0"/>
          <w:lang w:eastAsia="pt-BR"/>
          <w14:ligatures w14:val="none"/>
        </w:rPr>
        <w:t>Março representou um novo marco para a LAC. No entanto, a desaceleração econômica esperada para a região pode afetar a demanda por transporte aéreo</w:t>
      </w:r>
    </w:p>
    <w:p w14:paraId="1CE7087C" w14:textId="77777777" w:rsidR="007A5754" w:rsidRPr="00403E14" w:rsidRDefault="007A5754" w:rsidP="00403E14">
      <w:pPr>
        <w:jc w:val="both"/>
        <w:rPr>
          <w:rFonts w:ascii="Calibri" w:eastAsia="Times New Roman" w:hAnsi="Calibri" w:cs="Calibri"/>
          <w:color w:val="212121"/>
          <w:kern w:val="0"/>
          <w:sz w:val="28"/>
          <w:szCs w:val="28"/>
          <w:lang w:eastAsia="pt-BR"/>
          <w14:ligatures w14:val="none"/>
        </w:rPr>
      </w:pPr>
      <w:r w:rsidRPr="00403E14">
        <w:rPr>
          <w:rFonts w:ascii="Calibri" w:eastAsia="Times New Roman" w:hAnsi="Calibri" w:cs="Calibri"/>
          <w:color w:val="212121"/>
          <w:kern w:val="0"/>
          <w:sz w:val="28"/>
          <w:szCs w:val="28"/>
          <w:lang w:eastAsia="pt-BR"/>
          <w14:ligatures w14:val="none"/>
        </w:rPr>
        <w:t xml:space="preserve"> </w:t>
      </w:r>
    </w:p>
    <w:p w14:paraId="663D3A7C" w14:textId="0742842B" w:rsidR="007A5754" w:rsidRPr="00403E14" w:rsidRDefault="007A5754" w:rsidP="00403E14">
      <w:pPr>
        <w:jc w:val="both"/>
        <w:rPr>
          <w:rFonts w:ascii="Calibri" w:eastAsia="Times New Roman" w:hAnsi="Calibri" w:cs="Calibri"/>
          <w:color w:val="212121"/>
          <w:kern w:val="0"/>
          <w:lang w:eastAsia="pt-BR"/>
          <w14:ligatures w14:val="none"/>
        </w:rPr>
      </w:pPr>
      <w:r w:rsidRPr="00403E14">
        <w:rPr>
          <w:rFonts w:ascii="Calibri" w:eastAsia="Times New Roman" w:hAnsi="Calibri" w:cs="Calibri"/>
          <w:color w:val="212121"/>
          <w:kern w:val="0"/>
          <w:lang w:eastAsia="pt-BR"/>
          <w14:ligatures w14:val="none"/>
        </w:rPr>
        <w:t>Em março de 2023, a América Latina e o Caribe (</w:t>
      </w:r>
      <w:r w:rsidR="00403E14">
        <w:rPr>
          <w:rFonts w:ascii="Calibri" w:eastAsia="Times New Roman" w:hAnsi="Calibri" w:cs="Calibri"/>
          <w:color w:val="212121"/>
          <w:kern w:val="0"/>
          <w:lang w:eastAsia="pt-BR"/>
          <w14:ligatures w14:val="none"/>
        </w:rPr>
        <w:t>LAC</w:t>
      </w:r>
      <w:r w:rsidRPr="00403E14">
        <w:rPr>
          <w:rFonts w:ascii="Calibri" w:eastAsia="Times New Roman" w:hAnsi="Calibri" w:cs="Calibri"/>
          <w:color w:val="212121"/>
          <w:kern w:val="0"/>
          <w:lang w:eastAsia="pt-BR"/>
          <w14:ligatures w14:val="none"/>
        </w:rPr>
        <w:t xml:space="preserve">) superou pela terceira vez o número de passageiros transportados em 2019. Um marco que a região </w:t>
      </w:r>
      <w:r w:rsidR="003C7C68">
        <w:rPr>
          <w:rFonts w:ascii="Calibri" w:eastAsia="Times New Roman" w:hAnsi="Calibri" w:cs="Calibri"/>
          <w:color w:val="212121"/>
          <w:kern w:val="0"/>
          <w:lang w:eastAsia="pt-BR"/>
          <w14:ligatures w14:val="none"/>
        </w:rPr>
        <w:t xml:space="preserve">já havia </w:t>
      </w:r>
      <w:r w:rsidRPr="00403E14">
        <w:rPr>
          <w:rFonts w:ascii="Calibri" w:eastAsia="Times New Roman" w:hAnsi="Calibri" w:cs="Calibri"/>
          <w:color w:val="212121"/>
          <w:kern w:val="0"/>
          <w:lang w:eastAsia="pt-BR"/>
          <w14:ligatures w14:val="none"/>
        </w:rPr>
        <w:t>alcanç</w:t>
      </w:r>
      <w:r w:rsidR="003C7C68">
        <w:rPr>
          <w:rFonts w:ascii="Calibri" w:eastAsia="Times New Roman" w:hAnsi="Calibri" w:cs="Calibri"/>
          <w:color w:val="212121"/>
          <w:kern w:val="0"/>
          <w:lang w:eastAsia="pt-BR"/>
          <w14:ligatures w14:val="none"/>
        </w:rPr>
        <w:t>ado</w:t>
      </w:r>
      <w:r w:rsidRPr="00403E14">
        <w:rPr>
          <w:rFonts w:ascii="Calibri" w:eastAsia="Times New Roman" w:hAnsi="Calibri" w:cs="Calibri"/>
          <w:color w:val="212121"/>
          <w:kern w:val="0"/>
          <w:lang w:eastAsia="pt-BR"/>
          <w14:ligatures w14:val="none"/>
        </w:rPr>
        <w:t xml:space="preserve"> em setembro e dezembro de 2022. </w:t>
      </w:r>
      <w:r w:rsidR="00403E14">
        <w:rPr>
          <w:rFonts w:ascii="Calibri" w:eastAsia="Times New Roman" w:hAnsi="Calibri" w:cs="Calibri"/>
          <w:color w:val="212121"/>
          <w:kern w:val="0"/>
          <w:lang w:eastAsia="pt-BR"/>
          <w14:ligatures w14:val="none"/>
        </w:rPr>
        <w:t>A</w:t>
      </w:r>
      <w:r w:rsidRPr="00403E14">
        <w:rPr>
          <w:rFonts w:ascii="Calibri" w:eastAsia="Times New Roman" w:hAnsi="Calibri" w:cs="Calibri"/>
          <w:color w:val="212121"/>
          <w:kern w:val="0"/>
          <w:lang w:eastAsia="pt-BR"/>
          <w14:ligatures w14:val="none"/>
        </w:rPr>
        <w:t>té o final do ano passado, a região lider</w:t>
      </w:r>
      <w:r w:rsidR="003C7C68">
        <w:rPr>
          <w:rFonts w:ascii="Calibri" w:eastAsia="Times New Roman" w:hAnsi="Calibri" w:cs="Calibri"/>
          <w:color w:val="212121"/>
          <w:kern w:val="0"/>
          <w:lang w:eastAsia="pt-BR"/>
          <w14:ligatures w14:val="none"/>
        </w:rPr>
        <w:t>ou</w:t>
      </w:r>
      <w:r w:rsidRPr="00403E14">
        <w:rPr>
          <w:rFonts w:ascii="Calibri" w:eastAsia="Times New Roman" w:hAnsi="Calibri" w:cs="Calibri"/>
          <w:color w:val="212121"/>
          <w:kern w:val="0"/>
          <w:lang w:eastAsia="pt-BR"/>
          <w14:ligatures w14:val="none"/>
        </w:rPr>
        <w:t xml:space="preserve"> a recuperação global no tráfego de passageiros, mas </w:t>
      </w:r>
      <w:r w:rsidR="003C7C68">
        <w:rPr>
          <w:rFonts w:ascii="Calibri" w:eastAsia="Times New Roman" w:hAnsi="Calibri" w:cs="Calibri"/>
          <w:color w:val="212121"/>
          <w:kern w:val="0"/>
          <w:lang w:eastAsia="pt-BR"/>
          <w14:ligatures w14:val="none"/>
        </w:rPr>
        <w:t>agora</w:t>
      </w:r>
      <w:r w:rsidRPr="00403E14">
        <w:rPr>
          <w:rFonts w:ascii="Calibri" w:eastAsia="Times New Roman" w:hAnsi="Calibri" w:cs="Calibri"/>
          <w:color w:val="212121"/>
          <w:kern w:val="0"/>
          <w:lang w:eastAsia="pt-BR"/>
          <w14:ligatures w14:val="none"/>
        </w:rPr>
        <w:t xml:space="preserve">, a África ocupa esse lugar com 101,7% </w:t>
      </w:r>
      <w:r w:rsidR="0072558F">
        <w:rPr>
          <w:rFonts w:ascii="Calibri" w:eastAsia="Times New Roman" w:hAnsi="Calibri" w:cs="Calibri"/>
          <w:color w:val="212121"/>
          <w:kern w:val="0"/>
          <w:lang w:eastAsia="pt-BR"/>
          <w14:ligatures w14:val="none"/>
        </w:rPr>
        <w:t>em comparação a</w:t>
      </w:r>
      <w:r w:rsidRPr="00403E14">
        <w:rPr>
          <w:rFonts w:ascii="Calibri" w:eastAsia="Times New Roman" w:hAnsi="Calibri" w:cs="Calibri"/>
          <w:color w:val="212121"/>
          <w:kern w:val="0"/>
          <w:lang w:eastAsia="pt-BR"/>
          <w14:ligatures w14:val="none"/>
        </w:rPr>
        <w:t xml:space="preserve"> 2019, informa o Relatório de Tráfego de Passageiros elaborado pelo </w:t>
      </w:r>
      <w:r w:rsidR="00403E14">
        <w:rPr>
          <w:rFonts w:ascii="Calibri" w:eastAsia="Times New Roman" w:hAnsi="Calibri" w:cs="Calibri"/>
          <w:color w:val="212121"/>
          <w:kern w:val="0"/>
          <w:lang w:eastAsia="pt-BR"/>
          <w14:ligatures w14:val="none"/>
        </w:rPr>
        <w:t>Associação</w:t>
      </w:r>
      <w:r w:rsidRPr="00403E14">
        <w:rPr>
          <w:rFonts w:ascii="Calibri" w:eastAsia="Times New Roman" w:hAnsi="Calibri" w:cs="Calibri"/>
          <w:color w:val="212121"/>
          <w:kern w:val="0"/>
          <w:lang w:eastAsia="pt-BR"/>
          <w14:ligatures w14:val="none"/>
        </w:rPr>
        <w:t xml:space="preserve"> Latino-Americano e </w:t>
      </w:r>
      <w:r w:rsidR="00403E14">
        <w:rPr>
          <w:rFonts w:ascii="Calibri" w:eastAsia="Times New Roman" w:hAnsi="Calibri" w:cs="Calibri"/>
          <w:color w:val="212121"/>
          <w:kern w:val="0"/>
          <w:lang w:eastAsia="pt-BR"/>
          <w14:ligatures w14:val="none"/>
        </w:rPr>
        <w:t>do Caribe</w:t>
      </w:r>
      <w:r w:rsidRPr="00403E14">
        <w:rPr>
          <w:rFonts w:ascii="Calibri" w:eastAsia="Times New Roman" w:hAnsi="Calibri" w:cs="Calibri"/>
          <w:color w:val="212121"/>
          <w:kern w:val="0"/>
          <w:lang w:eastAsia="pt-BR"/>
          <w14:ligatures w14:val="none"/>
        </w:rPr>
        <w:t xml:space="preserve"> de Transporte Aéreo (ALTA).</w:t>
      </w:r>
    </w:p>
    <w:p w14:paraId="4F5DF11C" w14:textId="77777777" w:rsidR="007A5754" w:rsidRPr="00403E14" w:rsidRDefault="007A5754" w:rsidP="00403E14">
      <w:pPr>
        <w:jc w:val="both"/>
        <w:rPr>
          <w:rFonts w:ascii="Calibri" w:eastAsia="Times New Roman" w:hAnsi="Calibri" w:cs="Calibri"/>
          <w:color w:val="212121"/>
          <w:kern w:val="0"/>
          <w:lang w:eastAsia="pt-BR"/>
          <w14:ligatures w14:val="none"/>
        </w:rPr>
      </w:pPr>
    </w:p>
    <w:p w14:paraId="11D90B9E" w14:textId="792FF479" w:rsidR="007A5754" w:rsidRPr="00403E14" w:rsidRDefault="007A5754" w:rsidP="00403E14">
      <w:pPr>
        <w:jc w:val="both"/>
        <w:rPr>
          <w:rFonts w:ascii="Calibri" w:eastAsia="Times New Roman" w:hAnsi="Calibri" w:cs="Calibri"/>
          <w:color w:val="212121"/>
          <w:kern w:val="0"/>
          <w:lang w:eastAsia="pt-BR"/>
          <w14:ligatures w14:val="none"/>
        </w:rPr>
      </w:pPr>
      <w:r w:rsidRPr="00403E14">
        <w:rPr>
          <w:rFonts w:ascii="Calibri" w:eastAsia="Times New Roman" w:hAnsi="Calibri" w:cs="Calibri"/>
          <w:color w:val="212121"/>
          <w:kern w:val="0"/>
          <w:lang w:eastAsia="pt-BR"/>
          <w14:ligatures w14:val="none"/>
        </w:rPr>
        <w:t>“</w:t>
      </w:r>
      <w:r w:rsidR="0072558F">
        <w:rPr>
          <w:rFonts w:ascii="Calibri" w:eastAsia="Times New Roman" w:hAnsi="Calibri" w:cs="Calibri"/>
          <w:color w:val="212121"/>
          <w:kern w:val="0"/>
          <w:lang w:eastAsia="pt-BR"/>
          <w14:ligatures w14:val="none"/>
        </w:rPr>
        <w:t>O mês de m</w:t>
      </w:r>
      <w:r w:rsidRPr="00403E14">
        <w:rPr>
          <w:rFonts w:ascii="Calibri" w:eastAsia="Times New Roman" w:hAnsi="Calibri" w:cs="Calibri"/>
          <w:color w:val="212121"/>
          <w:kern w:val="0"/>
          <w:lang w:eastAsia="pt-BR"/>
          <w14:ligatures w14:val="none"/>
        </w:rPr>
        <w:t xml:space="preserve">arço apresentou uma leve recuperação em relação aos dois meses anteriores, mas as projeções econômicas para a LAC este ano refletem uma desaceleração que terá um impacto negativo na demanda de passageiros aéreos da região. As mais recentes estimativas de crescimento econômico do Fundo Monetário Internacional (FMI), publicadas no final de abril de 2023, indicam que a região crescerá 1,6% </w:t>
      </w:r>
      <w:r w:rsidR="0072558F">
        <w:rPr>
          <w:rFonts w:ascii="Calibri" w:eastAsia="Times New Roman" w:hAnsi="Calibri" w:cs="Calibri"/>
          <w:color w:val="212121"/>
          <w:kern w:val="0"/>
          <w:lang w:eastAsia="pt-BR"/>
          <w14:ligatures w14:val="none"/>
        </w:rPr>
        <w:t>em 2023</w:t>
      </w:r>
      <w:r w:rsidRPr="00403E14">
        <w:rPr>
          <w:rFonts w:ascii="Calibri" w:eastAsia="Times New Roman" w:hAnsi="Calibri" w:cs="Calibri"/>
          <w:color w:val="212121"/>
          <w:kern w:val="0"/>
          <w:lang w:eastAsia="pt-BR"/>
          <w14:ligatures w14:val="none"/>
        </w:rPr>
        <w:t xml:space="preserve">, valor que representa uma desaceleração de 0,2 pontos em relação às suas projeções”, destaca José Ricardo Botelho, </w:t>
      </w:r>
      <w:r w:rsidR="00403E14">
        <w:rPr>
          <w:rFonts w:ascii="Calibri" w:eastAsia="Times New Roman" w:hAnsi="Calibri" w:cs="Calibri"/>
          <w:color w:val="212121"/>
          <w:kern w:val="0"/>
          <w:lang w:eastAsia="pt-BR"/>
          <w14:ligatures w14:val="none"/>
        </w:rPr>
        <w:t>diretor</w:t>
      </w:r>
      <w:r w:rsidRPr="00403E14">
        <w:rPr>
          <w:rFonts w:ascii="Calibri" w:eastAsia="Times New Roman" w:hAnsi="Calibri" w:cs="Calibri"/>
          <w:color w:val="212121"/>
          <w:kern w:val="0"/>
          <w:lang w:eastAsia="pt-BR"/>
          <w14:ligatures w14:val="none"/>
        </w:rPr>
        <w:t xml:space="preserve"> executivo e CEO da ALTA, que explica que este abrandamento econ</w:t>
      </w:r>
      <w:r w:rsidR="0072558F">
        <w:rPr>
          <w:rFonts w:ascii="Calibri" w:eastAsia="Times New Roman" w:hAnsi="Calibri" w:cs="Calibri"/>
          <w:color w:val="212121"/>
          <w:kern w:val="0"/>
          <w:lang w:eastAsia="pt-BR"/>
          <w14:ligatures w14:val="none"/>
        </w:rPr>
        <w:t>ô</w:t>
      </w:r>
      <w:r w:rsidRPr="00403E14">
        <w:rPr>
          <w:rFonts w:ascii="Calibri" w:eastAsia="Times New Roman" w:hAnsi="Calibri" w:cs="Calibri"/>
          <w:color w:val="212121"/>
          <w:kern w:val="0"/>
          <w:lang w:eastAsia="pt-BR"/>
          <w14:ligatures w14:val="none"/>
        </w:rPr>
        <w:t xml:space="preserve">mico se traduzirá </w:t>
      </w:r>
      <w:r w:rsidR="0072558F">
        <w:rPr>
          <w:rFonts w:ascii="Calibri" w:eastAsia="Times New Roman" w:hAnsi="Calibri" w:cs="Calibri"/>
          <w:color w:val="212121"/>
          <w:kern w:val="0"/>
          <w:lang w:eastAsia="pt-BR"/>
          <w14:ligatures w14:val="none"/>
        </w:rPr>
        <w:t xml:space="preserve">também </w:t>
      </w:r>
      <w:r w:rsidR="00403E14">
        <w:rPr>
          <w:rFonts w:ascii="Calibri" w:eastAsia="Times New Roman" w:hAnsi="Calibri" w:cs="Calibri"/>
          <w:color w:val="212121"/>
          <w:kern w:val="0"/>
          <w:lang w:eastAsia="pt-BR"/>
          <w14:ligatures w14:val="none"/>
        </w:rPr>
        <w:t xml:space="preserve">em </w:t>
      </w:r>
      <w:r w:rsidRPr="00403E14">
        <w:rPr>
          <w:rFonts w:ascii="Calibri" w:eastAsia="Times New Roman" w:hAnsi="Calibri" w:cs="Calibri"/>
          <w:color w:val="212121"/>
          <w:kern w:val="0"/>
          <w:lang w:eastAsia="pt-BR"/>
          <w14:ligatures w14:val="none"/>
        </w:rPr>
        <w:t>uma menor procura</w:t>
      </w:r>
      <w:r w:rsidR="00403E14">
        <w:rPr>
          <w:rFonts w:ascii="Calibri" w:eastAsia="Times New Roman" w:hAnsi="Calibri" w:cs="Calibri"/>
          <w:color w:val="212121"/>
          <w:kern w:val="0"/>
          <w:lang w:eastAsia="pt-BR"/>
          <w14:ligatures w14:val="none"/>
        </w:rPr>
        <w:t xml:space="preserve"> pelo </w:t>
      </w:r>
      <w:r w:rsidRPr="00403E14">
        <w:rPr>
          <w:rFonts w:ascii="Calibri" w:eastAsia="Times New Roman" w:hAnsi="Calibri" w:cs="Calibri"/>
          <w:color w:val="212121"/>
          <w:kern w:val="0"/>
          <w:lang w:eastAsia="pt-BR"/>
          <w14:ligatures w14:val="none"/>
        </w:rPr>
        <w:t>serviço de transporte aéreo.</w:t>
      </w:r>
    </w:p>
    <w:p w14:paraId="5713592B" w14:textId="77777777" w:rsidR="007A5754" w:rsidRPr="00403E14" w:rsidRDefault="007A5754" w:rsidP="00403E14">
      <w:pPr>
        <w:jc w:val="both"/>
        <w:rPr>
          <w:rFonts w:ascii="Calibri" w:eastAsia="Times New Roman" w:hAnsi="Calibri" w:cs="Calibri"/>
          <w:b/>
          <w:bCs/>
          <w:color w:val="212121"/>
          <w:kern w:val="0"/>
          <w:lang w:eastAsia="pt-BR"/>
          <w14:ligatures w14:val="none"/>
        </w:rPr>
      </w:pPr>
    </w:p>
    <w:p w14:paraId="21097A30" w14:textId="4F286A88" w:rsidR="007A5754" w:rsidRPr="00403E14" w:rsidRDefault="007A5754" w:rsidP="00403E14">
      <w:pPr>
        <w:spacing w:after="240"/>
        <w:jc w:val="both"/>
        <w:rPr>
          <w:rFonts w:ascii="Calibri" w:eastAsia="Times New Roman" w:hAnsi="Calibri" w:cs="Calibri"/>
          <w:color w:val="212121"/>
          <w:kern w:val="0"/>
          <w:lang w:eastAsia="pt-BR"/>
          <w14:ligatures w14:val="none"/>
        </w:rPr>
      </w:pPr>
      <w:r w:rsidRPr="00403E14">
        <w:rPr>
          <w:rFonts w:ascii="Calibri" w:eastAsia="Times New Roman" w:hAnsi="Calibri" w:cs="Calibri"/>
          <w:color w:val="212121"/>
          <w:kern w:val="0"/>
          <w:lang w:eastAsia="pt-BR"/>
          <w14:ligatures w14:val="none"/>
        </w:rPr>
        <w:t>O</w:t>
      </w:r>
      <w:r w:rsidR="0072558F">
        <w:rPr>
          <w:rFonts w:ascii="Calibri" w:eastAsia="Times New Roman" w:hAnsi="Calibri" w:cs="Calibri"/>
          <w:color w:val="212121"/>
          <w:kern w:val="0"/>
          <w:lang w:eastAsia="pt-BR"/>
          <w14:ligatures w14:val="none"/>
        </w:rPr>
        <w:t xml:space="preserve">utra estimativa do FMI é </w:t>
      </w:r>
      <w:r w:rsidRPr="00403E14">
        <w:rPr>
          <w:rFonts w:ascii="Calibri" w:eastAsia="Times New Roman" w:hAnsi="Calibri" w:cs="Calibri"/>
          <w:color w:val="212121"/>
          <w:kern w:val="0"/>
          <w:lang w:eastAsia="pt-BR"/>
          <w14:ligatures w14:val="none"/>
        </w:rPr>
        <w:t xml:space="preserve">que </w:t>
      </w:r>
      <w:r w:rsidR="0072558F">
        <w:rPr>
          <w:rFonts w:ascii="Calibri" w:eastAsia="Times New Roman" w:hAnsi="Calibri" w:cs="Calibri"/>
          <w:color w:val="212121"/>
          <w:kern w:val="0"/>
          <w:lang w:eastAsia="pt-BR"/>
          <w14:ligatures w14:val="none"/>
        </w:rPr>
        <w:t>a LAC fechará o ano com uma inflação de 13%</w:t>
      </w:r>
      <w:r w:rsidRPr="00403E14">
        <w:rPr>
          <w:rFonts w:ascii="Calibri" w:eastAsia="Times New Roman" w:hAnsi="Calibri" w:cs="Calibri"/>
          <w:color w:val="212121"/>
          <w:kern w:val="0"/>
          <w:lang w:eastAsia="pt-BR"/>
          <w14:ligatures w14:val="none"/>
        </w:rPr>
        <w:t>. Esta variável, além de afetar as políticas monetárias dos países da região, impactará negativamente a demanda por serviços no setor de viagens e turismo. Além disso, as moedas embora tenham apresentado tendência de valorização nos últimos meses, apresentam desvalorização em relação a 2019. “Em geral, o câmbio afeta negativamente as companhias aéreas porque 75% de sua estrutura de custos é dolarizada”, diz Botelho.</w:t>
      </w:r>
    </w:p>
    <w:p w14:paraId="03A15A22" w14:textId="7F9D4618" w:rsidR="007A5754" w:rsidRPr="00403E14" w:rsidRDefault="007A5754" w:rsidP="00403E14">
      <w:pPr>
        <w:spacing w:after="240"/>
        <w:jc w:val="both"/>
        <w:rPr>
          <w:rFonts w:ascii="Calibri" w:eastAsia="Times New Roman" w:hAnsi="Calibri" w:cs="Calibri"/>
          <w:color w:val="212121"/>
          <w:kern w:val="0"/>
          <w:lang w:eastAsia="pt-BR"/>
          <w14:ligatures w14:val="none"/>
        </w:rPr>
      </w:pPr>
      <w:r w:rsidRPr="00403E14">
        <w:rPr>
          <w:rFonts w:ascii="Calibri" w:eastAsia="Times New Roman" w:hAnsi="Calibri" w:cs="Calibri"/>
          <w:color w:val="212121"/>
          <w:kern w:val="0"/>
          <w:lang w:eastAsia="pt-BR"/>
          <w14:ligatures w14:val="none"/>
        </w:rPr>
        <w:t xml:space="preserve">Os preços dos combustíveis caíram em relação aos meses anteriores, mas estão em níveis mais altos do que os </w:t>
      </w:r>
      <w:proofErr w:type="spellStart"/>
      <w:r w:rsidRPr="00403E14">
        <w:rPr>
          <w:rFonts w:ascii="Calibri" w:eastAsia="Times New Roman" w:hAnsi="Calibri" w:cs="Calibri"/>
          <w:color w:val="212121"/>
          <w:kern w:val="0"/>
          <w:lang w:eastAsia="pt-BR"/>
          <w14:ligatures w14:val="none"/>
        </w:rPr>
        <w:t>pré</w:t>
      </w:r>
      <w:proofErr w:type="spellEnd"/>
      <w:r w:rsidRPr="00403E14">
        <w:rPr>
          <w:rFonts w:ascii="Calibri" w:eastAsia="Times New Roman" w:hAnsi="Calibri" w:cs="Calibri"/>
          <w:color w:val="212121"/>
          <w:kern w:val="0"/>
          <w:lang w:eastAsia="pt-BR"/>
          <w14:ligatures w14:val="none"/>
        </w:rPr>
        <w:t xml:space="preserve">-pandêmicos. “Todos esses dados nos apontam para um 2023 difícil de administrar em termos econômicos”, alerta o CEO da ALTA, que reitera seu apelo aos governos da região para que trabalhem juntos </w:t>
      </w:r>
      <w:r w:rsidR="006E3569">
        <w:rPr>
          <w:rFonts w:ascii="Calibri" w:eastAsia="Times New Roman" w:hAnsi="Calibri" w:cs="Calibri"/>
          <w:color w:val="212121"/>
          <w:kern w:val="0"/>
          <w:lang w:eastAsia="pt-BR"/>
          <w14:ligatures w14:val="none"/>
        </w:rPr>
        <w:t>a</w:t>
      </w:r>
      <w:r w:rsidRPr="00403E14">
        <w:rPr>
          <w:rFonts w:ascii="Calibri" w:eastAsia="Times New Roman" w:hAnsi="Calibri" w:cs="Calibri"/>
          <w:color w:val="212121"/>
          <w:kern w:val="0"/>
          <w:lang w:eastAsia="pt-BR"/>
          <w14:ligatures w14:val="none"/>
        </w:rPr>
        <w:t xml:space="preserve">gendas de Estado </w:t>
      </w:r>
      <w:r w:rsidR="00A763CD" w:rsidRPr="00403E14">
        <w:rPr>
          <w:rFonts w:ascii="Calibri" w:eastAsia="Times New Roman" w:hAnsi="Calibri" w:cs="Calibri"/>
          <w:color w:val="212121"/>
          <w:kern w:val="0"/>
          <w:lang w:eastAsia="pt-BR"/>
          <w14:ligatures w14:val="none"/>
        </w:rPr>
        <w:t>em prol de um setor essencial para a população</w:t>
      </w:r>
      <w:r w:rsidR="00A763CD">
        <w:rPr>
          <w:rFonts w:ascii="Calibri" w:eastAsia="Times New Roman" w:hAnsi="Calibri" w:cs="Calibri"/>
          <w:color w:val="212121"/>
          <w:kern w:val="0"/>
          <w:lang w:eastAsia="pt-BR"/>
          <w14:ligatures w14:val="none"/>
        </w:rPr>
        <w:t xml:space="preserve"> como o aéreo, e </w:t>
      </w:r>
      <w:r w:rsidRPr="00403E14">
        <w:rPr>
          <w:rFonts w:ascii="Calibri" w:eastAsia="Times New Roman" w:hAnsi="Calibri" w:cs="Calibri"/>
          <w:color w:val="212121"/>
          <w:kern w:val="0"/>
          <w:lang w:eastAsia="pt-BR"/>
          <w14:ligatures w14:val="none"/>
        </w:rPr>
        <w:t xml:space="preserve">que </w:t>
      </w:r>
      <w:r w:rsidR="00A763CD">
        <w:rPr>
          <w:rFonts w:ascii="Calibri" w:eastAsia="Times New Roman" w:hAnsi="Calibri" w:cs="Calibri"/>
          <w:color w:val="212121"/>
          <w:kern w:val="0"/>
          <w:lang w:eastAsia="pt-BR"/>
          <w14:ligatures w14:val="none"/>
        </w:rPr>
        <w:t>as tratativas os</w:t>
      </w:r>
      <w:r w:rsidRPr="00403E14">
        <w:rPr>
          <w:rFonts w:ascii="Calibri" w:eastAsia="Times New Roman" w:hAnsi="Calibri" w:cs="Calibri"/>
          <w:color w:val="212121"/>
          <w:kern w:val="0"/>
          <w:lang w:eastAsia="pt-BR"/>
          <w14:ligatures w14:val="none"/>
        </w:rPr>
        <w:t xml:space="preserve"> </w:t>
      </w:r>
      <w:r w:rsidR="00A763CD">
        <w:rPr>
          <w:rFonts w:ascii="Calibri" w:eastAsia="Times New Roman" w:hAnsi="Calibri" w:cs="Calibri"/>
          <w:color w:val="212121"/>
          <w:kern w:val="0"/>
          <w:lang w:eastAsia="pt-BR"/>
          <w14:ligatures w14:val="none"/>
        </w:rPr>
        <w:t>ajudem a</w:t>
      </w:r>
      <w:r w:rsidRPr="00403E14">
        <w:rPr>
          <w:rFonts w:ascii="Calibri" w:eastAsia="Times New Roman" w:hAnsi="Calibri" w:cs="Calibri"/>
          <w:color w:val="212121"/>
          <w:kern w:val="0"/>
          <w:lang w:eastAsia="pt-BR"/>
          <w14:ligatures w14:val="none"/>
        </w:rPr>
        <w:t xml:space="preserve"> enfrentar a crise econômica que está afetando a região</w:t>
      </w:r>
      <w:r w:rsidR="00A763CD">
        <w:rPr>
          <w:rFonts w:ascii="Calibri" w:eastAsia="Times New Roman" w:hAnsi="Calibri" w:cs="Calibri"/>
          <w:color w:val="212121"/>
          <w:kern w:val="0"/>
          <w:lang w:eastAsia="pt-BR"/>
          <w14:ligatures w14:val="none"/>
        </w:rPr>
        <w:t>.</w:t>
      </w:r>
    </w:p>
    <w:p w14:paraId="600B83E5" w14:textId="77777777" w:rsidR="007A5754" w:rsidRPr="00403E14" w:rsidRDefault="007A5754" w:rsidP="00403E14">
      <w:pPr>
        <w:spacing w:after="240"/>
        <w:jc w:val="both"/>
        <w:rPr>
          <w:rFonts w:ascii="Calibri" w:eastAsia="Times New Roman" w:hAnsi="Calibri" w:cs="Calibri"/>
          <w:b/>
          <w:bCs/>
          <w:color w:val="212121"/>
          <w:kern w:val="0"/>
          <w:lang w:eastAsia="pt-BR"/>
          <w14:ligatures w14:val="none"/>
        </w:rPr>
      </w:pPr>
      <w:r w:rsidRPr="00403E14">
        <w:rPr>
          <w:rFonts w:ascii="Calibri" w:eastAsia="Times New Roman" w:hAnsi="Calibri" w:cs="Calibri"/>
          <w:b/>
          <w:bCs/>
          <w:color w:val="212121"/>
          <w:kern w:val="0"/>
          <w:lang w:eastAsia="pt-BR"/>
          <w14:ligatures w14:val="none"/>
        </w:rPr>
        <w:t>Tráfego nacional e internacional com números positivos</w:t>
      </w:r>
    </w:p>
    <w:p w14:paraId="34CFD537" w14:textId="5FB91A8C" w:rsidR="007A5754" w:rsidRPr="00403E14" w:rsidRDefault="007A5754" w:rsidP="00403E14">
      <w:pPr>
        <w:spacing w:after="240"/>
        <w:jc w:val="both"/>
        <w:rPr>
          <w:rFonts w:ascii="Calibri" w:eastAsia="Times New Roman" w:hAnsi="Calibri" w:cs="Calibri"/>
          <w:color w:val="212121"/>
          <w:kern w:val="0"/>
          <w:lang w:eastAsia="pt-BR"/>
          <w14:ligatures w14:val="none"/>
        </w:rPr>
      </w:pPr>
      <w:r w:rsidRPr="00403E14">
        <w:rPr>
          <w:rFonts w:ascii="Calibri" w:eastAsia="Times New Roman" w:hAnsi="Calibri" w:cs="Calibri"/>
          <w:color w:val="212121"/>
          <w:kern w:val="0"/>
          <w:lang w:eastAsia="pt-BR"/>
          <w14:ligatures w14:val="none"/>
        </w:rPr>
        <w:t xml:space="preserve">Em relação ao tráfego doméstico de passageiros, alguns países se destacaram: a Colômbia superou em 14% os níveis de março de 2019, um número muito positivo, porém inferior ao de fevereiro, quando havia atingido 127%. O México, por sua vez, ficou 21% acima de seus níveis </w:t>
      </w:r>
      <w:proofErr w:type="spellStart"/>
      <w:r w:rsidRPr="00403E14">
        <w:rPr>
          <w:rFonts w:ascii="Calibri" w:eastAsia="Times New Roman" w:hAnsi="Calibri" w:cs="Calibri"/>
          <w:color w:val="212121"/>
          <w:kern w:val="0"/>
          <w:lang w:eastAsia="pt-BR"/>
          <w14:ligatures w14:val="none"/>
        </w:rPr>
        <w:t>pré</w:t>
      </w:r>
      <w:proofErr w:type="spellEnd"/>
      <w:r w:rsidRPr="00403E14">
        <w:rPr>
          <w:rFonts w:ascii="Calibri" w:eastAsia="Times New Roman" w:hAnsi="Calibri" w:cs="Calibri"/>
          <w:color w:val="212121"/>
          <w:kern w:val="0"/>
          <w:lang w:eastAsia="pt-BR"/>
          <w14:ligatures w14:val="none"/>
        </w:rPr>
        <w:t xml:space="preserve">-pandêmicos, portanto, </w:t>
      </w:r>
      <w:r w:rsidR="006E3569">
        <w:rPr>
          <w:rFonts w:ascii="Calibri" w:eastAsia="Times New Roman" w:hAnsi="Calibri" w:cs="Calibri"/>
          <w:color w:val="212121"/>
          <w:kern w:val="0"/>
          <w:lang w:eastAsia="pt-BR"/>
          <w14:ligatures w14:val="none"/>
        </w:rPr>
        <w:t>os dois</w:t>
      </w:r>
      <w:r w:rsidRPr="00403E14">
        <w:rPr>
          <w:rFonts w:ascii="Calibri" w:eastAsia="Times New Roman" w:hAnsi="Calibri" w:cs="Calibri"/>
          <w:color w:val="212121"/>
          <w:kern w:val="0"/>
          <w:lang w:eastAsia="pt-BR"/>
          <w14:ligatures w14:val="none"/>
        </w:rPr>
        <w:t xml:space="preserve"> países apresentaram desaceleração em seu crescimento em relação a fevereiro deste ano.</w:t>
      </w:r>
    </w:p>
    <w:p w14:paraId="23E35E76" w14:textId="17317D64" w:rsidR="007A5754" w:rsidRPr="00403E14" w:rsidRDefault="006E3569" w:rsidP="00403E14">
      <w:pPr>
        <w:spacing w:after="240"/>
        <w:jc w:val="both"/>
        <w:rPr>
          <w:rFonts w:ascii="Calibri" w:eastAsia="Times New Roman" w:hAnsi="Calibri" w:cs="Calibri"/>
          <w:color w:val="212121"/>
          <w:kern w:val="0"/>
          <w:lang w:eastAsia="pt-BR"/>
          <w14:ligatures w14:val="none"/>
        </w:rPr>
      </w:pPr>
      <w:r>
        <w:rPr>
          <w:rFonts w:ascii="Calibri" w:eastAsia="Times New Roman" w:hAnsi="Calibri" w:cs="Calibri"/>
          <w:color w:val="212121"/>
          <w:kern w:val="0"/>
          <w:lang w:eastAsia="pt-BR"/>
          <w14:ligatures w14:val="none"/>
        </w:rPr>
        <w:t>Março</w:t>
      </w:r>
      <w:r w:rsidR="007A5754" w:rsidRPr="00403E14">
        <w:rPr>
          <w:rFonts w:ascii="Calibri" w:eastAsia="Times New Roman" w:hAnsi="Calibri" w:cs="Calibri"/>
          <w:color w:val="212121"/>
          <w:kern w:val="0"/>
          <w:lang w:eastAsia="pt-BR"/>
          <w14:ligatures w14:val="none"/>
        </w:rPr>
        <w:t xml:space="preserve"> também trouxe crescimento positivo para Argentina e Chile. Pela terceira vez </w:t>
      </w:r>
      <w:r>
        <w:rPr>
          <w:rFonts w:ascii="Calibri" w:eastAsia="Times New Roman" w:hAnsi="Calibri" w:cs="Calibri"/>
          <w:color w:val="212121"/>
          <w:kern w:val="0"/>
          <w:lang w:eastAsia="pt-BR"/>
          <w14:ligatures w14:val="none"/>
        </w:rPr>
        <w:t>seguida</w:t>
      </w:r>
      <w:r w:rsidR="007A5754" w:rsidRPr="00403E14">
        <w:rPr>
          <w:rFonts w:ascii="Calibri" w:eastAsia="Times New Roman" w:hAnsi="Calibri" w:cs="Calibri"/>
          <w:color w:val="212121"/>
          <w:kern w:val="0"/>
          <w:lang w:eastAsia="pt-BR"/>
          <w14:ligatures w14:val="none"/>
        </w:rPr>
        <w:t xml:space="preserve">, a Argentina superou os níveis de 2019 e o Chile, pela primeira vez, praticamente </w:t>
      </w:r>
      <w:r w:rsidR="007A5754" w:rsidRPr="00403E14">
        <w:rPr>
          <w:rFonts w:ascii="Calibri" w:eastAsia="Times New Roman" w:hAnsi="Calibri" w:cs="Calibri"/>
          <w:color w:val="212121"/>
          <w:kern w:val="0"/>
          <w:lang w:eastAsia="pt-BR"/>
          <w14:ligatures w14:val="none"/>
        </w:rPr>
        <w:lastRenderedPageBreak/>
        <w:t xml:space="preserve">atingiu os níveis </w:t>
      </w:r>
      <w:proofErr w:type="spellStart"/>
      <w:r w:rsidR="007A5754" w:rsidRPr="00403E14">
        <w:rPr>
          <w:rFonts w:ascii="Calibri" w:eastAsia="Times New Roman" w:hAnsi="Calibri" w:cs="Calibri"/>
          <w:color w:val="212121"/>
          <w:kern w:val="0"/>
          <w:lang w:eastAsia="pt-BR"/>
          <w14:ligatures w14:val="none"/>
        </w:rPr>
        <w:t>pré</w:t>
      </w:r>
      <w:proofErr w:type="spellEnd"/>
      <w:r w:rsidR="007A5754" w:rsidRPr="00403E14">
        <w:rPr>
          <w:rFonts w:ascii="Calibri" w:eastAsia="Times New Roman" w:hAnsi="Calibri" w:cs="Calibri"/>
          <w:color w:val="212121"/>
          <w:kern w:val="0"/>
          <w:lang w:eastAsia="pt-BR"/>
          <w14:ligatures w14:val="none"/>
        </w:rPr>
        <w:t>-pandemia. Por outro lado, o Brasil está cada vez mais próximo, chegando a 96%.</w:t>
      </w:r>
    </w:p>
    <w:p w14:paraId="700D2E03" w14:textId="6E9B4CCB" w:rsidR="007A5754" w:rsidRPr="00403E14" w:rsidRDefault="007A5754" w:rsidP="00403E14">
      <w:pPr>
        <w:spacing w:after="240"/>
        <w:jc w:val="both"/>
        <w:rPr>
          <w:rFonts w:ascii="Calibri" w:eastAsia="Times New Roman" w:hAnsi="Calibri" w:cs="Calibri"/>
          <w:color w:val="212121"/>
          <w:kern w:val="0"/>
          <w:lang w:eastAsia="pt-BR"/>
          <w14:ligatures w14:val="none"/>
        </w:rPr>
      </w:pPr>
      <w:r w:rsidRPr="00403E14">
        <w:rPr>
          <w:rFonts w:ascii="Calibri" w:eastAsia="Times New Roman" w:hAnsi="Calibri" w:cs="Calibri"/>
          <w:color w:val="212121"/>
          <w:kern w:val="0"/>
          <w:lang w:eastAsia="pt-BR"/>
          <w14:ligatures w14:val="none"/>
        </w:rPr>
        <w:t>Em relação ao tráfego internacional de passageiros, em março de 2023, vários países da região continua</w:t>
      </w:r>
      <w:r w:rsidR="00A763CD">
        <w:rPr>
          <w:rFonts w:ascii="Calibri" w:eastAsia="Times New Roman" w:hAnsi="Calibri" w:cs="Calibri"/>
          <w:color w:val="212121"/>
          <w:kern w:val="0"/>
          <w:lang w:eastAsia="pt-BR"/>
          <w14:ligatures w14:val="none"/>
        </w:rPr>
        <w:t>ra</w:t>
      </w:r>
      <w:r w:rsidRPr="00403E14">
        <w:rPr>
          <w:rFonts w:ascii="Calibri" w:eastAsia="Times New Roman" w:hAnsi="Calibri" w:cs="Calibri"/>
          <w:color w:val="212121"/>
          <w:kern w:val="0"/>
          <w:lang w:eastAsia="pt-BR"/>
          <w14:ligatures w14:val="none"/>
        </w:rPr>
        <w:t>m se destacando com crescimento muito positivo</w:t>
      </w:r>
      <w:r w:rsidR="006E3569">
        <w:rPr>
          <w:rFonts w:ascii="Calibri" w:eastAsia="Times New Roman" w:hAnsi="Calibri" w:cs="Calibri"/>
          <w:color w:val="212121"/>
          <w:kern w:val="0"/>
          <w:lang w:eastAsia="pt-BR"/>
          <w14:ligatures w14:val="none"/>
        </w:rPr>
        <w:t>.</w:t>
      </w:r>
      <w:r w:rsidRPr="00403E14">
        <w:rPr>
          <w:rFonts w:ascii="Calibri" w:eastAsia="Times New Roman" w:hAnsi="Calibri" w:cs="Calibri"/>
          <w:color w:val="212121"/>
          <w:kern w:val="0"/>
          <w:lang w:eastAsia="pt-BR"/>
          <w14:ligatures w14:val="none"/>
        </w:rPr>
        <w:t xml:space="preserve"> Colômbia e México cresceram 19% e 10%, respectivamente, em relação aos níveis de 2019, porém o México apresentou uma leve desaceleração em </w:t>
      </w:r>
      <w:r w:rsidR="006E3569">
        <w:rPr>
          <w:rFonts w:ascii="Calibri" w:eastAsia="Times New Roman" w:hAnsi="Calibri" w:cs="Calibri"/>
          <w:color w:val="212121"/>
          <w:kern w:val="0"/>
          <w:lang w:eastAsia="pt-BR"/>
          <w14:ligatures w14:val="none"/>
        </w:rPr>
        <w:t>compara</w:t>
      </w:r>
      <w:r w:rsidRPr="00403E14">
        <w:rPr>
          <w:rFonts w:ascii="Calibri" w:eastAsia="Times New Roman" w:hAnsi="Calibri" w:cs="Calibri"/>
          <w:color w:val="212121"/>
          <w:kern w:val="0"/>
          <w:lang w:eastAsia="pt-BR"/>
          <w14:ligatures w14:val="none"/>
        </w:rPr>
        <w:t>ção a fevereiro.</w:t>
      </w:r>
    </w:p>
    <w:p w14:paraId="44AB2D30" w14:textId="68F56017" w:rsidR="007A5754" w:rsidRPr="00403E14" w:rsidRDefault="007A5754" w:rsidP="00403E14">
      <w:pPr>
        <w:spacing w:after="240"/>
        <w:jc w:val="both"/>
        <w:rPr>
          <w:rFonts w:ascii="Calibri" w:eastAsia="Times New Roman" w:hAnsi="Calibri" w:cs="Calibri"/>
          <w:color w:val="212121"/>
          <w:kern w:val="0"/>
          <w:lang w:eastAsia="pt-BR"/>
          <w14:ligatures w14:val="none"/>
        </w:rPr>
      </w:pPr>
      <w:r w:rsidRPr="00403E14">
        <w:rPr>
          <w:rFonts w:ascii="Calibri" w:eastAsia="Times New Roman" w:hAnsi="Calibri" w:cs="Calibri"/>
          <w:color w:val="212121"/>
          <w:kern w:val="0"/>
          <w:lang w:eastAsia="pt-BR"/>
          <w14:ligatures w14:val="none"/>
        </w:rPr>
        <w:t xml:space="preserve">Por sua vez, a República Dominicana atingiu 109% dos níveis de 2019, enquanto Brasil, Chile e Argentina atingiram 79%, 78% e 71%, respectivamente. </w:t>
      </w:r>
    </w:p>
    <w:p w14:paraId="49F9B9F2" w14:textId="2F5AE546" w:rsidR="007A5754" w:rsidRPr="00403E14" w:rsidRDefault="007A5754" w:rsidP="00403E14">
      <w:pPr>
        <w:spacing w:after="240"/>
        <w:jc w:val="both"/>
        <w:rPr>
          <w:rFonts w:ascii="Calibri" w:eastAsia="Times New Roman" w:hAnsi="Calibri" w:cs="Calibri"/>
          <w:b/>
          <w:bCs/>
          <w:color w:val="212121"/>
          <w:kern w:val="0"/>
          <w:lang w:eastAsia="pt-BR"/>
          <w14:ligatures w14:val="none"/>
        </w:rPr>
      </w:pPr>
      <w:r w:rsidRPr="00403E14">
        <w:rPr>
          <w:rFonts w:ascii="Calibri" w:eastAsia="Times New Roman" w:hAnsi="Calibri" w:cs="Calibri"/>
          <w:b/>
          <w:bCs/>
          <w:color w:val="212121"/>
          <w:kern w:val="0"/>
          <w:lang w:eastAsia="pt-BR"/>
          <w14:ligatures w14:val="none"/>
        </w:rPr>
        <w:t>América Latina muito desigual no 1º trimestre</w:t>
      </w:r>
    </w:p>
    <w:p w14:paraId="408C010F" w14:textId="6560109B" w:rsidR="007A5754" w:rsidRPr="00403E14" w:rsidRDefault="007A5754" w:rsidP="00403E14">
      <w:pPr>
        <w:spacing w:after="240"/>
        <w:jc w:val="both"/>
        <w:rPr>
          <w:rFonts w:ascii="Calibri" w:eastAsia="Times New Roman" w:hAnsi="Calibri" w:cs="Calibri"/>
          <w:color w:val="212121"/>
          <w:kern w:val="0"/>
          <w:lang w:eastAsia="pt-BR"/>
          <w14:ligatures w14:val="none"/>
        </w:rPr>
      </w:pPr>
      <w:r w:rsidRPr="00403E14">
        <w:rPr>
          <w:rFonts w:ascii="Calibri" w:eastAsia="Times New Roman" w:hAnsi="Calibri" w:cs="Calibri"/>
          <w:color w:val="212121"/>
          <w:kern w:val="0"/>
          <w:lang w:eastAsia="pt-BR"/>
          <w14:ligatures w14:val="none"/>
        </w:rPr>
        <w:t>Em termos gerais, durante o primeiro trimestre de 2023</w:t>
      </w:r>
      <w:r w:rsidR="006E3569">
        <w:rPr>
          <w:rFonts w:ascii="Calibri" w:eastAsia="Times New Roman" w:hAnsi="Calibri" w:cs="Calibri"/>
          <w:color w:val="212121"/>
          <w:kern w:val="0"/>
          <w:lang w:eastAsia="pt-BR"/>
          <w14:ligatures w14:val="none"/>
        </w:rPr>
        <w:t>,</w:t>
      </w:r>
      <w:r w:rsidRPr="00403E14">
        <w:rPr>
          <w:rFonts w:ascii="Calibri" w:eastAsia="Times New Roman" w:hAnsi="Calibri" w:cs="Calibri"/>
          <w:color w:val="212121"/>
          <w:kern w:val="0"/>
          <w:lang w:eastAsia="pt-BR"/>
          <w14:ligatures w14:val="none"/>
        </w:rPr>
        <w:t xml:space="preserve"> a região apresentou uma recuperação desigual em relação ao primeiro trimestre de 2019. Neste contexto, os principais mercados em termos de número de passageiros foram: Brasil, México, Colômbia, Argentina e Chile.</w:t>
      </w:r>
    </w:p>
    <w:p w14:paraId="4E54B510" w14:textId="561185B9" w:rsidR="002F6343" w:rsidRDefault="007A5754" w:rsidP="00403E14">
      <w:pPr>
        <w:spacing w:after="240"/>
        <w:jc w:val="both"/>
        <w:rPr>
          <w:rFonts w:ascii="Calibri" w:eastAsia="Times New Roman" w:hAnsi="Calibri" w:cs="Calibri"/>
          <w:color w:val="212121"/>
          <w:kern w:val="0"/>
          <w:lang w:eastAsia="pt-BR"/>
          <w14:ligatures w14:val="none"/>
        </w:rPr>
      </w:pPr>
      <w:r w:rsidRPr="00403E14">
        <w:rPr>
          <w:rFonts w:ascii="Calibri" w:eastAsia="Times New Roman" w:hAnsi="Calibri" w:cs="Calibri"/>
          <w:color w:val="212121"/>
          <w:kern w:val="0"/>
          <w:lang w:eastAsia="pt-BR"/>
          <w14:ligatures w14:val="none"/>
        </w:rPr>
        <w:t xml:space="preserve">Quanto às taxas de crescimento, estas foram positivas para México, Colômbia, Argentina e República Dominicana. O restante dos países não recuperou os níveis de 2019, sendo Cuba o mais afetado, com uma redução de 34% em relação aos níveis </w:t>
      </w:r>
      <w:proofErr w:type="spellStart"/>
      <w:r w:rsidRPr="00403E14">
        <w:rPr>
          <w:rFonts w:ascii="Calibri" w:eastAsia="Times New Roman" w:hAnsi="Calibri" w:cs="Calibri"/>
          <w:color w:val="212121"/>
          <w:kern w:val="0"/>
          <w:lang w:eastAsia="pt-BR"/>
          <w14:ligatures w14:val="none"/>
        </w:rPr>
        <w:t>pré</w:t>
      </w:r>
      <w:proofErr w:type="spellEnd"/>
      <w:r w:rsidRPr="00403E14">
        <w:rPr>
          <w:rFonts w:ascii="Calibri" w:eastAsia="Times New Roman" w:hAnsi="Calibri" w:cs="Calibri"/>
          <w:color w:val="212121"/>
          <w:kern w:val="0"/>
          <w:lang w:eastAsia="pt-BR"/>
          <w14:ligatures w14:val="none"/>
        </w:rPr>
        <w:t>-pandêmicos.</w:t>
      </w:r>
    </w:p>
    <w:p w14:paraId="7836D161" w14:textId="7BA505E2" w:rsidR="003C7C68" w:rsidRPr="003C7C68" w:rsidRDefault="003C7C68" w:rsidP="003C7C68">
      <w:pPr>
        <w:rPr>
          <w:rFonts w:cstheme="minorHAnsi"/>
          <w:b/>
          <w:bCs/>
          <w:color w:val="000000" w:themeColor="text1"/>
        </w:rPr>
      </w:pPr>
      <w:r w:rsidRPr="003C7C68">
        <w:rPr>
          <w:rFonts w:cstheme="minorHAnsi"/>
          <w:b/>
          <w:bCs/>
          <w:color w:val="000000" w:themeColor="text1"/>
        </w:rPr>
        <w:t>Estatísticas de março de 2023 - Brasil</w:t>
      </w:r>
    </w:p>
    <w:p w14:paraId="78861C39" w14:textId="77777777" w:rsidR="003C7C68" w:rsidRPr="003C7C68" w:rsidRDefault="003C7C68" w:rsidP="003C7C68">
      <w:pPr>
        <w:jc w:val="both"/>
        <w:rPr>
          <w:rFonts w:cstheme="minorHAnsi"/>
          <w:b/>
          <w:bCs/>
          <w:color w:val="7030A0"/>
          <w:sz w:val="28"/>
          <w:szCs w:val="28"/>
        </w:rPr>
      </w:pPr>
    </w:p>
    <w:p w14:paraId="6A0B7CBB" w14:textId="6F95D86D" w:rsidR="003C7C68" w:rsidRPr="003C7C68" w:rsidRDefault="003C7C68" w:rsidP="003C7C68">
      <w:pPr>
        <w:jc w:val="both"/>
        <w:rPr>
          <w:rFonts w:cstheme="minorHAnsi"/>
        </w:rPr>
      </w:pPr>
      <w:r w:rsidRPr="003C7C68">
        <w:rPr>
          <w:rFonts w:cstheme="minorHAnsi"/>
        </w:rPr>
        <w:t xml:space="preserve">- Em março de 2023, </w:t>
      </w:r>
      <w:r w:rsidR="00317DE7">
        <w:rPr>
          <w:rFonts w:cstheme="minorHAnsi"/>
        </w:rPr>
        <w:t xml:space="preserve">segundo a ANAC, </w:t>
      </w:r>
      <w:r w:rsidRPr="003C7C68">
        <w:rPr>
          <w:rFonts w:cstheme="minorHAnsi"/>
        </w:rPr>
        <w:t>foram transportados um total de 9,07 milhões de passageiros: 7,4 milhões nacionais (81% do total) e 1,7 milhões internacionais.</w:t>
      </w:r>
    </w:p>
    <w:p w14:paraId="123D418A" w14:textId="34D7DFEA" w:rsidR="003C7C68" w:rsidRPr="003C7C68" w:rsidRDefault="003C7C68" w:rsidP="003C7C68">
      <w:pPr>
        <w:jc w:val="both"/>
        <w:rPr>
          <w:rFonts w:cstheme="minorHAnsi"/>
        </w:rPr>
      </w:pPr>
      <w:r w:rsidRPr="003C7C68">
        <w:rPr>
          <w:rFonts w:cstheme="minorHAnsi"/>
        </w:rPr>
        <w:t xml:space="preserve">- </w:t>
      </w:r>
      <w:r w:rsidR="00317DE7">
        <w:rPr>
          <w:rFonts w:cstheme="minorHAnsi"/>
        </w:rPr>
        <w:t>O</w:t>
      </w:r>
      <w:r w:rsidRPr="003C7C68">
        <w:rPr>
          <w:rFonts w:cstheme="minorHAnsi"/>
        </w:rPr>
        <w:t xml:space="preserve"> Brasil alcançou uma recuperação internacional de 79% em relação ao mesmo mês de 2019 e de 96% no caso doméstico.</w:t>
      </w:r>
    </w:p>
    <w:p w14:paraId="749DB1E1" w14:textId="529084F8" w:rsidR="003C7C68" w:rsidRPr="00317DE7" w:rsidRDefault="003C7C68" w:rsidP="00317DE7">
      <w:pPr>
        <w:jc w:val="both"/>
        <w:rPr>
          <w:rFonts w:cstheme="minorHAnsi"/>
        </w:rPr>
      </w:pPr>
      <w:r w:rsidRPr="003C7C68">
        <w:rPr>
          <w:rFonts w:cstheme="minorHAnsi"/>
        </w:rPr>
        <w:t>- No primeiro trimestre de 2023 (1T23), foram transportados 25 milhões de passageiros, o que representa 92% dos níveis do 1T19.</w:t>
      </w:r>
    </w:p>
    <w:p w14:paraId="7440A9C3" w14:textId="77777777" w:rsidR="003C7C68" w:rsidRDefault="003C7C68" w:rsidP="003C7C68">
      <w:pPr>
        <w:rPr>
          <w:rFonts w:cstheme="minorHAnsi"/>
          <w:color w:val="7030A0"/>
        </w:rPr>
      </w:pPr>
    </w:p>
    <w:p w14:paraId="6FBD8C6E" w14:textId="77777777" w:rsidR="003C7C68" w:rsidRDefault="003C7C68" w:rsidP="003C7C68">
      <w:pPr>
        <w:rPr>
          <w:rFonts w:cstheme="minorHAnsi"/>
          <w:b/>
          <w:bCs/>
          <w:color w:val="000000" w:themeColor="text1"/>
        </w:rPr>
      </w:pPr>
      <w:r w:rsidRPr="00317DE7">
        <w:rPr>
          <w:rFonts w:cstheme="minorHAnsi"/>
          <w:b/>
          <w:bCs/>
          <w:color w:val="000000" w:themeColor="text1"/>
        </w:rPr>
        <w:t xml:space="preserve">Tarifa aérea média mensal (USD) no Brasil </w:t>
      </w:r>
    </w:p>
    <w:p w14:paraId="6DA4905C" w14:textId="77777777" w:rsidR="00317DE7" w:rsidRPr="00317DE7" w:rsidRDefault="00317DE7" w:rsidP="003C7C68">
      <w:pPr>
        <w:rPr>
          <w:rFonts w:cstheme="minorHAnsi"/>
          <w:b/>
          <w:bCs/>
          <w:color w:val="000000" w:themeColor="text1"/>
        </w:rPr>
      </w:pPr>
    </w:p>
    <w:p w14:paraId="55C15C0F" w14:textId="2CAF4A9E" w:rsidR="003C7C68" w:rsidRPr="00C249BF" w:rsidRDefault="003C7C68" w:rsidP="003C7C68">
      <w:pPr>
        <w:rPr>
          <w:rFonts w:cstheme="minorHAnsi"/>
        </w:rPr>
      </w:pPr>
      <w:r>
        <w:rPr>
          <w:rFonts w:cstheme="minorHAnsi"/>
        </w:rPr>
        <w:t>A</w:t>
      </w:r>
      <w:r w:rsidRPr="00C249BF">
        <w:rPr>
          <w:rFonts w:cstheme="minorHAnsi"/>
        </w:rPr>
        <w:t xml:space="preserve"> tarifa m</w:t>
      </w:r>
      <w:r>
        <w:rPr>
          <w:rFonts w:cstheme="minorHAnsi"/>
        </w:rPr>
        <w:t>é</w:t>
      </w:r>
      <w:r w:rsidRPr="00C249BF">
        <w:rPr>
          <w:rFonts w:cstheme="minorHAnsi"/>
        </w:rPr>
        <w:t>dia doméstica e</w:t>
      </w:r>
      <w:r>
        <w:rPr>
          <w:rFonts w:cstheme="minorHAnsi"/>
        </w:rPr>
        <w:t>m</w:t>
      </w:r>
      <w:r w:rsidRPr="00C249BF">
        <w:rPr>
          <w:rFonts w:cstheme="minorHAnsi"/>
        </w:rPr>
        <w:t xml:space="preserve"> fe</w:t>
      </w:r>
      <w:r>
        <w:rPr>
          <w:rFonts w:cstheme="minorHAnsi"/>
        </w:rPr>
        <w:t>ve</w:t>
      </w:r>
      <w:r w:rsidRPr="00C249BF">
        <w:rPr>
          <w:rFonts w:cstheme="minorHAnsi"/>
        </w:rPr>
        <w:t>re</w:t>
      </w:r>
      <w:r>
        <w:rPr>
          <w:rFonts w:cstheme="minorHAnsi"/>
        </w:rPr>
        <w:t>i</w:t>
      </w:r>
      <w:r w:rsidRPr="00C249BF">
        <w:rPr>
          <w:rFonts w:cstheme="minorHAnsi"/>
        </w:rPr>
        <w:t>ro de 2023</w:t>
      </w:r>
      <w:r w:rsidR="00317DE7">
        <w:rPr>
          <w:rFonts w:cstheme="minorHAnsi"/>
        </w:rPr>
        <w:t>, de acordo com a ANAC,</w:t>
      </w:r>
      <w:r w:rsidRPr="00C249BF">
        <w:rPr>
          <w:rFonts w:cstheme="minorHAnsi"/>
        </w:rPr>
        <w:t xml:space="preserve"> f</w:t>
      </w:r>
      <w:r>
        <w:rPr>
          <w:rFonts w:cstheme="minorHAnsi"/>
        </w:rPr>
        <w:t>oi</w:t>
      </w:r>
      <w:r w:rsidRPr="00C249BF">
        <w:rPr>
          <w:rFonts w:cstheme="minorHAnsi"/>
        </w:rPr>
        <w:t xml:space="preserve"> de 110 US</w:t>
      </w:r>
      <w:r>
        <w:rPr>
          <w:rFonts w:cstheme="minorHAnsi"/>
        </w:rPr>
        <w:t xml:space="preserve">D (+18% que em 2019), enquanto </w:t>
      </w:r>
      <w:r w:rsidRPr="00C249BF">
        <w:rPr>
          <w:rFonts w:cstheme="minorHAnsi"/>
        </w:rPr>
        <w:t xml:space="preserve">a internacional </w:t>
      </w:r>
      <w:r>
        <w:rPr>
          <w:rFonts w:cstheme="minorHAnsi"/>
        </w:rPr>
        <w:t>foi de</w:t>
      </w:r>
      <w:r w:rsidRPr="00C249BF">
        <w:rPr>
          <w:rFonts w:cstheme="minorHAnsi"/>
        </w:rPr>
        <w:t xml:space="preserve"> 736</w:t>
      </w:r>
      <w:r>
        <w:rPr>
          <w:rFonts w:cstheme="minorHAnsi"/>
        </w:rPr>
        <w:t>,</w:t>
      </w:r>
      <w:r w:rsidRPr="00C249BF">
        <w:rPr>
          <w:rFonts w:cstheme="minorHAnsi"/>
        </w:rPr>
        <w:t>2 US</w:t>
      </w:r>
      <w:r>
        <w:rPr>
          <w:rFonts w:cstheme="minorHAnsi"/>
        </w:rPr>
        <w:t>D (+5% que em 2019)</w:t>
      </w:r>
    </w:p>
    <w:p w14:paraId="6C98AE2C" w14:textId="77777777" w:rsidR="003C7C68" w:rsidRDefault="003C7C68" w:rsidP="003C7C68">
      <w:pPr>
        <w:rPr>
          <w:rFonts w:cstheme="minorHAnsi"/>
          <w:color w:val="7030A0"/>
        </w:rPr>
      </w:pPr>
    </w:p>
    <w:p w14:paraId="385EAFB1" w14:textId="77777777" w:rsidR="003C7C68" w:rsidRDefault="003C7C68" w:rsidP="003C7C68">
      <w:pPr>
        <w:rPr>
          <w:rFonts w:cstheme="minorHAnsi"/>
          <w:b/>
          <w:bCs/>
          <w:color w:val="000000" w:themeColor="text1"/>
        </w:rPr>
      </w:pPr>
      <w:r w:rsidRPr="00317DE7">
        <w:rPr>
          <w:rFonts w:cstheme="minorHAnsi"/>
          <w:b/>
          <w:bCs/>
          <w:color w:val="000000" w:themeColor="text1"/>
        </w:rPr>
        <w:t>Competitividade em impostos, taxas e contribuições: o Brasil como um dos países mais competitivos</w:t>
      </w:r>
    </w:p>
    <w:p w14:paraId="2E06E1C1" w14:textId="77777777" w:rsidR="00317DE7" w:rsidRPr="00317DE7" w:rsidRDefault="00317DE7" w:rsidP="003C7C68">
      <w:pPr>
        <w:rPr>
          <w:rFonts w:cstheme="minorHAnsi"/>
          <w:b/>
          <w:bCs/>
          <w:color w:val="000000" w:themeColor="text1"/>
        </w:rPr>
      </w:pPr>
    </w:p>
    <w:p w14:paraId="2386EDBF" w14:textId="30343894" w:rsidR="003C7C68" w:rsidRDefault="00317DE7" w:rsidP="003C7C68">
      <w:pPr>
        <w:jc w:val="both"/>
        <w:rPr>
          <w:rFonts w:cstheme="minorHAnsi"/>
        </w:rPr>
      </w:pPr>
      <w:r>
        <w:rPr>
          <w:rFonts w:cstheme="minorHAnsi"/>
        </w:rPr>
        <w:t>O</w:t>
      </w:r>
      <w:r w:rsidR="003C7C68" w:rsidRPr="0063626A">
        <w:rPr>
          <w:rFonts w:cstheme="minorHAnsi"/>
        </w:rPr>
        <w:t xml:space="preserve"> Índice de Competitividade do Transporte Aéreo elaborado pela ALTA, </w:t>
      </w:r>
      <w:r>
        <w:rPr>
          <w:rFonts w:cstheme="minorHAnsi"/>
        </w:rPr>
        <w:t xml:space="preserve">indica que </w:t>
      </w:r>
      <w:r w:rsidR="003C7C68" w:rsidRPr="0063626A">
        <w:rPr>
          <w:rFonts w:cstheme="minorHAnsi"/>
        </w:rPr>
        <w:t xml:space="preserve">o Brasil ocupa o segundo lugar como um dos países mais competitivos em termos de impostos. </w:t>
      </w:r>
      <w:r>
        <w:rPr>
          <w:rFonts w:cstheme="minorHAnsi"/>
        </w:rPr>
        <w:t>Algumas razões</w:t>
      </w:r>
      <w:r w:rsidR="003C7C68" w:rsidRPr="0063626A">
        <w:rPr>
          <w:rFonts w:cstheme="minorHAnsi"/>
        </w:rPr>
        <w:t>:</w:t>
      </w:r>
    </w:p>
    <w:p w14:paraId="40DDD64F" w14:textId="77777777" w:rsidR="00317DE7" w:rsidRPr="0063626A" w:rsidRDefault="00317DE7" w:rsidP="003C7C68">
      <w:pPr>
        <w:jc w:val="both"/>
        <w:rPr>
          <w:rFonts w:cstheme="minorHAnsi"/>
        </w:rPr>
      </w:pPr>
    </w:p>
    <w:p w14:paraId="74594002" w14:textId="03A0E5C7" w:rsidR="003C7C68" w:rsidRPr="0063626A" w:rsidRDefault="00317DE7" w:rsidP="003C7C68">
      <w:pPr>
        <w:jc w:val="both"/>
        <w:rPr>
          <w:rFonts w:cstheme="minorHAnsi"/>
        </w:rPr>
      </w:pPr>
      <w:r>
        <w:rPr>
          <w:rFonts w:cstheme="minorHAnsi"/>
        </w:rPr>
        <w:t xml:space="preserve">- </w:t>
      </w:r>
      <w:r w:rsidR="003C7C68" w:rsidRPr="0063626A">
        <w:rPr>
          <w:rFonts w:cstheme="minorHAnsi"/>
        </w:rPr>
        <w:t xml:space="preserve">Com </w:t>
      </w:r>
      <w:r w:rsidR="003C7C68">
        <w:rPr>
          <w:rFonts w:cstheme="minorHAnsi"/>
        </w:rPr>
        <w:t>o</w:t>
      </w:r>
      <w:r w:rsidR="003C7C68" w:rsidRPr="0063626A">
        <w:rPr>
          <w:rFonts w:cstheme="minorHAnsi"/>
        </w:rPr>
        <w:t xml:space="preserve"> valor de US$ 10,9, Brasília tem uma das taxas aeroportuárias mais baratas do Brasil.</w:t>
      </w:r>
    </w:p>
    <w:p w14:paraId="1EF98CB5" w14:textId="1BF12944" w:rsidR="003C7C68" w:rsidRPr="0063626A" w:rsidRDefault="00317DE7" w:rsidP="003C7C68">
      <w:pPr>
        <w:jc w:val="both"/>
        <w:rPr>
          <w:rFonts w:cstheme="minorHAnsi"/>
        </w:rPr>
      </w:pPr>
      <w:r>
        <w:rPr>
          <w:rFonts w:cstheme="minorHAnsi"/>
        </w:rPr>
        <w:t xml:space="preserve">- </w:t>
      </w:r>
      <w:r w:rsidR="003C7C68" w:rsidRPr="0063626A">
        <w:rPr>
          <w:rFonts w:cstheme="minorHAnsi"/>
        </w:rPr>
        <w:t xml:space="preserve">O Brasil tem uma taxa aeroportuária </w:t>
      </w:r>
      <w:r>
        <w:rPr>
          <w:rFonts w:cstheme="minorHAnsi"/>
        </w:rPr>
        <w:t xml:space="preserve">média </w:t>
      </w:r>
      <w:r w:rsidR="003C7C68" w:rsidRPr="0063626A">
        <w:rPr>
          <w:rFonts w:cstheme="minorHAnsi"/>
        </w:rPr>
        <w:t xml:space="preserve">para o país de US$ 11,3, que é uma das mais baratas da </w:t>
      </w:r>
      <w:r w:rsidR="003C7C68">
        <w:rPr>
          <w:rFonts w:cstheme="minorHAnsi"/>
        </w:rPr>
        <w:t>LAC</w:t>
      </w:r>
      <w:r w:rsidR="003C7C68" w:rsidRPr="0063626A">
        <w:rPr>
          <w:rFonts w:cstheme="minorHAnsi"/>
        </w:rPr>
        <w:t>.</w:t>
      </w:r>
    </w:p>
    <w:p w14:paraId="6697B885" w14:textId="081A1269" w:rsidR="003C7C68" w:rsidRPr="0063626A" w:rsidRDefault="00317DE7" w:rsidP="003C7C68">
      <w:pPr>
        <w:jc w:val="both"/>
        <w:rPr>
          <w:rFonts w:cstheme="minorHAnsi"/>
        </w:rPr>
      </w:pPr>
      <w:r>
        <w:rPr>
          <w:rFonts w:cstheme="minorHAnsi"/>
        </w:rPr>
        <w:lastRenderedPageBreak/>
        <w:t xml:space="preserve">- </w:t>
      </w:r>
      <w:r w:rsidR="003C7C68" w:rsidRPr="0063626A">
        <w:rPr>
          <w:rFonts w:cstheme="minorHAnsi"/>
        </w:rPr>
        <w:t xml:space="preserve">O Brasil </w:t>
      </w:r>
      <w:r w:rsidR="003C7C68">
        <w:rPr>
          <w:rFonts w:cstheme="minorHAnsi"/>
        </w:rPr>
        <w:t>está entre os</w:t>
      </w:r>
      <w:r w:rsidR="003C7C68" w:rsidRPr="0063626A">
        <w:rPr>
          <w:rFonts w:cstheme="minorHAnsi"/>
        </w:rPr>
        <w:t xml:space="preserve"> países que não </w:t>
      </w:r>
      <w:r w:rsidR="003C7C68">
        <w:rPr>
          <w:rFonts w:cstheme="minorHAnsi"/>
        </w:rPr>
        <w:t>possuem</w:t>
      </w:r>
      <w:r w:rsidR="003C7C68" w:rsidRPr="0063626A">
        <w:rPr>
          <w:rFonts w:cstheme="minorHAnsi"/>
        </w:rPr>
        <w:t xml:space="preserve"> custos adicionais. Este conceito inclui taxas de turismo, taxas de imigração e serviços de segurança, entre outros tipos de custos no aeroporto.</w:t>
      </w:r>
    </w:p>
    <w:p w14:paraId="658EAC11" w14:textId="66606467" w:rsidR="003C7C68" w:rsidRDefault="00317DE7" w:rsidP="003C7C68">
      <w:pPr>
        <w:jc w:val="both"/>
        <w:rPr>
          <w:rFonts w:cstheme="minorHAnsi"/>
        </w:rPr>
      </w:pPr>
      <w:r>
        <w:rPr>
          <w:rFonts w:cstheme="minorHAnsi"/>
        </w:rPr>
        <w:t xml:space="preserve">- </w:t>
      </w:r>
      <w:r w:rsidR="003C7C68" w:rsidRPr="0063626A">
        <w:rPr>
          <w:rFonts w:cstheme="minorHAnsi"/>
        </w:rPr>
        <w:t xml:space="preserve">Ao considerar todos os impostos, taxas e contribuições, o Brasil é um dos países </w:t>
      </w:r>
      <w:r w:rsidR="003C7C68">
        <w:rPr>
          <w:rFonts w:cstheme="minorHAnsi"/>
        </w:rPr>
        <w:t>mais acessíveis para um</w:t>
      </w:r>
      <w:r w:rsidR="003C7C68" w:rsidRPr="0063626A">
        <w:rPr>
          <w:rFonts w:cstheme="minorHAnsi"/>
        </w:rPr>
        <w:t xml:space="preserve"> passageiro.</w:t>
      </w:r>
    </w:p>
    <w:p w14:paraId="11308479" w14:textId="77777777" w:rsidR="00317DE7" w:rsidRDefault="00317DE7" w:rsidP="003C7C68">
      <w:pPr>
        <w:jc w:val="both"/>
        <w:rPr>
          <w:rFonts w:cstheme="minorHAnsi"/>
        </w:rPr>
      </w:pPr>
    </w:p>
    <w:p w14:paraId="2D6BFBA4" w14:textId="77777777" w:rsidR="003C7C68" w:rsidRDefault="003C7C68" w:rsidP="003C7C68">
      <w:pPr>
        <w:jc w:val="center"/>
        <w:rPr>
          <w:rFonts w:ascii="Open Sans" w:eastAsia="Times New Roman" w:hAnsi="Open Sans" w:cs="Open Sans"/>
          <w:b/>
          <w:bCs/>
          <w:color w:val="000000" w:themeColor="text1"/>
          <w:sz w:val="20"/>
          <w:szCs w:val="20"/>
          <w:lang w:val="es-CO"/>
        </w:rPr>
      </w:pPr>
      <w:r w:rsidRPr="00F007DC">
        <w:rPr>
          <w:rFonts w:ascii="Open Sans" w:hAnsi="Open Sans" w:cs="Open Sans"/>
          <w:noProof/>
          <w:sz w:val="20"/>
          <w:szCs w:val="20"/>
          <w:lang w:val="es-VE" w:eastAsia="es-VE"/>
        </w:rPr>
        <w:drawing>
          <wp:inline distT="0" distB="0" distL="0" distR="0" wp14:anchorId="211927AC" wp14:editId="0D56DCD8">
            <wp:extent cx="5612130" cy="2980055"/>
            <wp:effectExtent l="0" t="0" r="13970" b="17145"/>
            <wp:docPr id="25" name="Gráfico 25">
              <a:extLst xmlns:a="http://schemas.openxmlformats.org/drawingml/2006/main">
                <a:ext uri="{FF2B5EF4-FFF2-40B4-BE49-F238E27FC236}">
                  <a16:creationId xmlns:a16="http://schemas.microsoft.com/office/drawing/2014/main" id="{EED39FCD-C2F5-EAA3-4DC6-44BC78800890}"/>
                </a:ext>
                <a:ext uri="{147F2762-F138-4A5C-976F-8EAC2B608ADB}">
                  <a16:predDERef xmlns:a16="http://schemas.microsoft.com/office/drawing/2014/main" pred="{A809C721-E0BC-7441-D445-24F776C28B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2A198E6" w14:textId="77777777" w:rsidR="003C7C68" w:rsidRPr="009C66B2" w:rsidRDefault="003C7C68" w:rsidP="003C7C68">
      <w:pPr>
        <w:jc w:val="both"/>
        <w:rPr>
          <w:rFonts w:eastAsia="Times New Roman" w:cs="Calibri"/>
          <w:color w:val="000000" w:themeColor="text1"/>
          <w:sz w:val="16"/>
          <w:szCs w:val="16"/>
        </w:rPr>
      </w:pPr>
      <w:r w:rsidRPr="009C66B2">
        <w:rPr>
          <w:rFonts w:eastAsia="Times New Roman" w:cs="Times New Roman"/>
          <w:color w:val="000000" w:themeColor="text1"/>
          <w:sz w:val="16"/>
          <w:szCs w:val="16"/>
        </w:rPr>
        <w:t xml:space="preserve">Fonte: </w:t>
      </w:r>
      <w:r w:rsidRPr="009C66B2">
        <w:rPr>
          <w:rFonts w:eastAsia="Times New Roman" w:cs="Calibri"/>
          <w:color w:val="000000" w:themeColor="text1"/>
          <w:sz w:val="16"/>
          <w:szCs w:val="16"/>
        </w:rPr>
        <w:t>ALTA. Calculado sobre a base de uma passagem de USD 110.</w:t>
      </w:r>
    </w:p>
    <w:p w14:paraId="1FBF4AD5" w14:textId="77777777" w:rsidR="003C7C68" w:rsidRDefault="003C7C68" w:rsidP="00403E14">
      <w:pPr>
        <w:spacing w:after="240"/>
        <w:jc w:val="both"/>
      </w:pPr>
    </w:p>
    <w:p w14:paraId="3B661B03" w14:textId="77777777" w:rsidR="00C056CF" w:rsidRPr="00C056CF" w:rsidRDefault="00C056CF" w:rsidP="00C056CF">
      <w:pPr>
        <w:rPr>
          <w:rStyle w:val="selectable-text"/>
          <w:rFonts w:cstheme="minorHAnsi"/>
          <w:b/>
          <w:bCs/>
        </w:rPr>
      </w:pPr>
      <w:r w:rsidRPr="00C056CF">
        <w:rPr>
          <w:rStyle w:val="selectable-text"/>
          <w:rFonts w:cstheme="minorHAnsi"/>
          <w:b/>
          <w:bCs/>
        </w:rPr>
        <w:t>Restrições de visto ameaçam a competitividade do Brasil como destino turístico, afirma ALTA</w:t>
      </w:r>
    </w:p>
    <w:p w14:paraId="57270320" w14:textId="77777777" w:rsidR="00C056CF" w:rsidRDefault="00C056CF" w:rsidP="00C056CF">
      <w:pPr>
        <w:rPr>
          <w:rFonts w:ascii="Arial" w:eastAsia="Times New Roman" w:hAnsi="Arial" w:cs="Arial"/>
          <w:color w:val="212121"/>
          <w:kern w:val="0"/>
          <w:lang w:eastAsia="pt-BR"/>
          <w14:ligatures w14:val="none"/>
        </w:rPr>
      </w:pPr>
    </w:p>
    <w:p w14:paraId="0FFB6BE0" w14:textId="7C44A337" w:rsidR="00C056CF" w:rsidRDefault="00C056CF" w:rsidP="00E653A0">
      <w:pPr>
        <w:jc w:val="both"/>
        <w:rPr>
          <w:rFonts w:eastAsia="Times New Roman" w:cstheme="minorHAnsi"/>
          <w:color w:val="212121"/>
          <w:kern w:val="0"/>
          <w:lang w:eastAsia="pt-BR"/>
          <w14:ligatures w14:val="none"/>
        </w:rPr>
      </w:pPr>
      <w:r w:rsidRPr="00C056CF">
        <w:rPr>
          <w:rFonts w:eastAsia="Times New Roman" w:cstheme="minorHAnsi"/>
          <w:color w:val="212121"/>
          <w:kern w:val="0"/>
          <w:lang w:eastAsia="pt-BR"/>
          <w14:ligatures w14:val="none"/>
        </w:rPr>
        <w:t xml:space="preserve">Na semana (11/05) em que a Comissão de Relações Exteriores (CRE) se reunirá para ouvir o ministro das Relações Exteriores, Mauro Vieira, sobre a decisão do governo de revogar a dispensa de vistos para que cidadãos da Austrália, do Canada, dos Estados Unidos e do Japão entrem no Brasil, a Associação Latino-Americana e do Caribe de Transporte Aéreo – ALTA, manifesta sua preocupação com a recente revogação, publicada no Diário Oficial no último dia 4. A partir do dia 1º de outubro, os cidadãos destes países que tiverem interesse em visitar o Brasil deverão acessar a página do Itamaraty para dar início no processo de emissão do </w:t>
      </w:r>
      <w:proofErr w:type="spellStart"/>
      <w:r w:rsidRPr="00C056CF">
        <w:rPr>
          <w:rFonts w:eastAsia="Times New Roman" w:cstheme="minorHAnsi"/>
          <w:color w:val="212121"/>
          <w:kern w:val="0"/>
          <w:lang w:eastAsia="pt-BR"/>
          <w14:ligatures w14:val="none"/>
        </w:rPr>
        <w:t>Visit</w:t>
      </w:r>
      <w:proofErr w:type="spellEnd"/>
      <w:r w:rsidRPr="00C056CF">
        <w:rPr>
          <w:rFonts w:eastAsia="Times New Roman" w:cstheme="minorHAnsi"/>
          <w:color w:val="212121"/>
          <w:kern w:val="0"/>
          <w:lang w:eastAsia="pt-BR"/>
          <w14:ligatures w14:val="none"/>
        </w:rPr>
        <w:t xml:space="preserve"> Visas, chamado de VIVIS e arcar com uma taxa de US$160 dólares, aproximadamente R$800, para que seus vistos sejam processados.</w:t>
      </w:r>
      <w:r w:rsidR="00E653A0">
        <w:rPr>
          <w:rFonts w:eastAsia="Times New Roman" w:cstheme="minorHAnsi"/>
          <w:color w:val="212121"/>
          <w:kern w:val="0"/>
          <w:lang w:eastAsia="pt-BR"/>
          <w14:ligatures w14:val="none"/>
        </w:rPr>
        <w:t xml:space="preserve"> </w:t>
      </w:r>
    </w:p>
    <w:p w14:paraId="0359621B" w14:textId="77777777" w:rsidR="00E653A0" w:rsidRPr="00E653A0" w:rsidRDefault="00E653A0" w:rsidP="00E653A0">
      <w:pPr>
        <w:rPr>
          <w:rFonts w:eastAsia="Times New Roman" w:cstheme="minorHAnsi"/>
          <w:color w:val="212121"/>
          <w:kern w:val="0"/>
          <w:lang w:eastAsia="pt-BR"/>
          <w14:ligatures w14:val="none"/>
        </w:rPr>
      </w:pPr>
    </w:p>
    <w:p w14:paraId="10BBDE82" w14:textId="77777777" w:rsidR="00E653A0" w:rsidRPr="002C1F6B" w:rsidRDefault="00E653A0" w:rsidP="00E653A0">
      <w:pPr>
        <w:rPr>
          <w:rFonts w:ascii="Arial" w:eastAsia="Times New Roman" w:hAnsi="Arial" w:cs="Arial"/>
          <w:color w:val="212121"/>
          <w:kern w:val="0"/>
          <w:lang w:eastAsia="pt-BR"/>
          <w14:ligatures w14:val="none"/>
        </w:rPr>
      </w:pPr>
    </w:p>
    <w:p w14:paraId="5EE12DDA" w14:textId="77777777" w:rsidR="00E653A0" w:rsidRPr="00403E14" w:rsidRDefault="00E653A0" w:rsidP="00403E14">
      <w:pPr>
        <w:spacing w:after="240"/>
        <w:jc w:val="both"/>
      </w:pPr>
    </w:p>
    <w:sectPr w:rsidR="00E653A0" w:rsidRPr="00403E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2AE5"/>
    <w:multiLevelType w:val="hybridMultilevel"/>
    <w:tmpl w:val="AB265B66"/>
    <w:lvl w:ilvl="0" w:tplc="7518A0EE">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541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54"/>
    <w:rsid w:val="002F6343"/>
    <w:rsid w:val="00317DE7"/>
    <w:rsid w:val="003C7C68"/>
    <w:rsid w:val="00403E14"/>
    <w:rsid w:val="006C792A"/>
    <w:rsid w:val="006E3569"/>
    <w:rsid w:val="0072558F"/>
    <w:rsid w:val="007A5754"/>
    <w:rsid w:val="00A763CD"/>
    <w:rsid w:val="00C056CF"/>
    <w:rsid w:val="00C97FE1"/>
    <w:rsid w:val="00E653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9ED442A"/>
  <w15:chartTrackingRefBased/>
  <w15:docId w15:val="{91894347-FD4B-604F-8EAF-E3B05223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A5754"/>
  </w:style>
  <w:style w:type="character" w:styleId="Hyperlink">
    <w:name w:val="Hyperlink"/>
    <w:basedOn w:val="Fontepargpadro"/>
    <w:uiPriority w:val="99"/>
    <w:unhideWhenUsed/>
    <w:rsid w:val="003C7C68"/>
    <w:rPr>
      <w:color w:val="0000FF"/>
      <w:u w:val="single"/>
    </w:rPr>
  </w:style>
  <w:style w:type="paragraph" w:styleId="PargrafodaLista">
    <w:name w:val="List Paragraph"/>
    <w:basedOn w:val="Normal"/>
    <w:uiPriority w:val="34"/>
    <w:qFormat/>
    <w:rsid w:val="003C7C68"/>
    <w:pPr>
      <w:spacing w:after="160" w:line="259" w:lineRule="auto"/>
      <w:ind w:left="720"/>
      <w:contextualSpacing/>
    </w:pPr>
    <w:rPr>
      <w:kern w:val="0"/>
      <w:sz w:val="22"/>
      <w:szCs w:val="22"/>
      <w:lang w:val="es-MX"/>
      <w14:ligatures w14:val="none"/>
    </w:rPr>
  </w:style>
  <w:style w:type="character" w:customStyle="1" w:styleId="selectable-text">
    <w:name w:val="selectable-text"/>
    <w:basedOn w:val="Fontepargpadro"/>
    <w:rsid w:val="00C0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altaaero-my.sharepoint.com/personal/jguerrero_alta_aero/Documents/Backup/Documents/Traffic%20Report/Amadeus/Indice%20de%20competitividad%20de%20transporte%20a&#233;reo/2022.10.14%20Estudio%20de%20Competitividad%20datos%20compilado%20(3).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[2022.10.14 Estudio de Competitividad datos compilado (3).xlsm]Impuestos, tasas y contribucion!PivotTable5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Impostos,</a:t>
            </a:r>
            <a:r>
              <a:rPr lang="en-US" b="1" baseline="0"/>
              <a:t> </a:t>
            </a:r>
            <a:r>
              <a:rPr lang="en-US" b="1"/>
              <a:t>taxas e</a:t>
            </a:r>
            <a:r>
              <a:rPr lang="en-US" b="1" baseline="0"/>
              <a:t> </a:t>
            </a:r>
            <a:r>
              <a:rPr lang="en-US" b="1"/>
              <a:t>contribuições</a:t>
            </a:r>
            <a:r>
              <a:rPr lang="en-US" b="1" baseline="0"/>
              <a:t> USD</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'Impuestos, tasas y contribucion'!$DV$4</c:f>
              <c:strCache>
                <c:ptCount val="1"/>
                <c:pt idx="0">
                  <c:v>Total</c:v>
                </c:pt>
              </c:strCache>
            </c:strRef>
          </c:tx>
          <c:spPr>
            <a:solidFill>
              <a:schemeClr val="accent1"/>
            </a:solidFill>
            <a:ln>
              <a:noFill/>
            </a:ln>
            <a:effectLst/>
          </c:spPr>
          <c:invertIfNegative val="0"/>
          <c:dPt>
            <c:idx val="1"/>
            <c:invertIfNegative val="0"/>
            <c:bubble3D val="0"/>
            <c:spPr>
              <a:solidFill>
                <a:schemeClr val="accent1"/>
              </a:solidFill>
              <a:ln>
                <a:noFill/>
              </a:ln>
              <a:effectLst/>
            </c:spPr>
            <c:extLst>
              <c:ext xmlns:c16="http://schemas.microsoft.com/office/drawing/2014/chart" uri="{C3380CC4-5D6E-409C-BE32-E72D297353CC}">
                <c16:uniqueId val="{00000001-EB79-CE44-B22D-DC421F1BAA55}"/>
              </c:ext>
            </c:extLst>
          </c:dPt>
          <c:dPt>
            <c:idx val="27"/>
            <c:invertIfNegative val="0"/>
            <c:bubble3D val="0"/>
            <c:spPr>
              <a:solidFill>
                <a:schemeClr val="accent2"/>
              </a:solidFill>
              <a:ln>
                <a:noFill/>
              </a:ln>
              <a:effectLst/>
            </c:spPr>
            <c:extLst>
              <c:ext xmlns:c16="http://schemas.microsoft.com/office/drawing/2014/chart" uri="{C3380CC4-5D6E-409C-BE32-E72D297353CC}">
                <c16:uniqueId val="{00000003-EB79-CE44-B22D-DC421F1BAA55}"/>
              </c:ext>
            </c:extLst>
          </c:dPt>
          <c:dLbls>
            <c:dLbl>
              <c:idx val="2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pt-BR"/>
                </a:p>
              </c:txPr>
              <c:showLegendKey val="0"/>
              <c:showVal val="1"/>
              <c:showCatName val="0"/>
              <c:showSerName val="0"/>
              <c:showPercent val="0"/>
              <c:showBubbleSize val="0"/>
              <c:extLst>
                <c:ext xmlns:c16="http://schemas.microsoft.com/office/drawing/2014/chart" uri="{C3380CC4-5D6E-409C-BE32-E72D297353CC}">
                  <c16:uniqueId val="{00000003-EB79-CE44-B22D-DC421F1BAA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'Impuestos, tasas y contribucion'!$DU$5:$DU$34</c:f>
              <c:strCache>
                <c:ptCount val="29"/>
                <c:pt idx="0">
                  <c:v>Argentina</c:v>
                </c:pt>
                <c:pt idx="1">
                  <c:v>Ecuador</c:v>
                </c:pt>
                <c:pt idx="2">
                  <c:v>Bahamas</c:v>
                </c:pt>
                <c:pt idx="3">
                  <c:v>Bolivia</c:v>
                </c:pt>
                <c:pt idx="4">
                  <c:v>Haiti</c:v>
                </c:pt>
                <c:pt idx="5">
                  <c:v>México</c:v>
                </c:pt>
                <c:pt idx="6">
                  <c:v>Colombia</c:v>
                </c:pt>
                <c:pt idx="7">
                  <c:v>Panamá</c:v>
                </c:pt>
                <c:pt idx="8">
                  <c:v>Suriname</c:v>
                </c:pt>
                <c:pt idx="9">
                  <c:v>Nicaragua</c:v>
                </c:pt>
                <c:pt idx="10">
                  <c:v>Barbados</c:v>
                </c:pt>
                <c:pt idx="11">
                  <c:v>Guyana</c:v>
                </c:pt>
                <c:pt idx="12">
                  <c:v>Belice</c:v>
                </c:pt>
                <c:pt idx="13">
                  <c:v>República Dominicana</c:v>
                </c:pt>
                <c:pt idx="14">
                  <c:v>Honduras</c:v>
                </c:pt>
                <c:pt idx="15">
                  <c:v>Perú</c:v>
                </c:pt>
                <c:pt idx="16">
                  <c:v>Costa Rica</c:v>
                </c:pt>
                <c:pt idx="17">
                  <c:v>Guatemala</c:v>
                </c:pt>
                <c:pt idx="18">
                  <c:v>Uruguay</c:v>
                </c:pt>
                <c:pt idx="19">
                  <c:v>Cuba</c:v>
                </c:pt>
                <c:pt idx="20">
                  <c:v>Trinidad y Tobago</c:v>
                </c:pt>
                <c:pt idx="21">
                  <c:v>Curazao</c:v>
                </c:pt>
                <c:pt idx="22">
                  <c:v>Aruba</c:v>
                </c:pt>
                <c:pt idx="23">
                  <c:v>Salvador</c:v>
                </c:pt>
                <c:pt idx="24">
                  <c:v>Paraguay</c:v>
                </c:pt>
                <c:pt idx="25">
                  <c:v>St. Marteen</c:v>
                </c:pt>
                <c:pt idx="26">
                  <c:v>Chile</c:v>
                </c:pt>
                <c:pt idx="27">
                  <c:v>Brasil</c:v>
                </c:pt>
                <c:pt idx="28">
                  <c:v>Jamaica</c:v>
                </c:pt>
              </c:strCache>
            </c:strRef>
          </c:cat>
          <c:val>
            <c:numRef>
              <c:f>'Impuestos, tasas y contribucion'!$DV$5:$DV$34</c:f>
              <c:numCache>
                <c:formatCode>_(* #,##0_);_(* \(#,##0\);_(* "-"_);_(@_)</c:formatCode>
                <c:ptCount val="29"/>
                <c:pt idx="0">
                  <c:v>198.41337845677413</c:v>
                </c:pt>
                <c:pt idx="1">
                  <c:v>123.48867080708574</c:v>
                </c:pt>
                <c:pt idx="2">
                  <c:v>100.23</c:v>
                </c:pt>
                <c:pt idx="3">
                  <c:v>93.311350000000004</c:v>
                </c:pt>
                <c:pt idx="4">
                  <c:v>83.175000000000011</c:v>
                </c:pt>
                <c:pt idx="5">
                  <c:v>82.234860909127505</c:v>
                </c:pt>
                <c:pt idx="6">
                  <c:v>80.235357260707445</c:v>
                </c:pt>
                <c:pt idx="7">
                  <c:v>75.967500000000001</c:v>
                </c:pt>
                <c:pt idx="8">
                  <c:v>74.819999999999993</c:v>
                </c:pt>
                <c:pt idx="9">
                  <c:v>71.767499999999998</c:v>
                </c:pt>
                <c:pt idx="10">
                  <c:v>71.493750000000006</c:v>
                </c:pt>
                <c:pt idx="11">
                  <c:v>68.537499999999994</c:v>
                </c:pt>
                <c:pt idx="12">
                  <c:v>67.385000000000005</c:v>
                </c:pt>
                <c:pt idx="13">
                  <c:v>65.681581149482867</c:v>
                </c:pt>
                <c:pt idx="14">
                  <c:v>64.977499999999992</c:v>
                </c:pt>
                <c:pt idx="15">
                  <c:v>64.815782163673191</c:v>
                </c:pt>
                <c:pt idx="16">
                  <c:v>63.65855017863533</c:v>
                </c:pt>
                <c:pt idx="17">
                  <c:v>63.23</c:v>
                </c:pt>
                <c:pt idx="18">
                  <c:v>59.028749999999995</c:v>
                </c:pt>
                <c:pt idx="19">
                  <c:v>55</c:v>
                </c:pt>
                <c:pt idx="20">
                  <c:v>53.181249999999999</c:v>
                </c:pt>
                <c:pt idx="21">
                  <c:v>51.74</c:v>
                </c:pt>
                <c:pt idx="22">
                  <c:v>49.5</c:v>
                </c:pt>
                <c:pt idx="23">
                  <c:v>46.462499999999999</c:v>
                </c:pt>
                <c:pt idx="24">
                  <c:v>44.556249999999999</c:v>
                </c:pt>
                <c:pt idx="25">
                  <c:v>29.32</c:v>
                </c:pt>
                <c:pt idx="26">
                  <c:v>25</c:v>
                </c:pt>
                <c:pt idx="27">
                  <c:v>11.262024929328991</c:v>
                </c:pt>
                <c:pt idx="28">
                  <c:v>4</c:v>
                </c:pt>
              </c:numCache>
            </c:numRef>
          </c:val>
          <c:extLst>
            <c:ext xmlns:c16="http://schemas.microsoft.com/office/drawing/2014/chart" uri="{C3380CC4-5D6E-409C-BE32-E72D297353CC}">
              <c16:uniqueId val="{00000004-EB79-CE44-B22D-DC421F1BAA55}"/>
            </c:ext>
          </c:extLst>
        </c:ser>
        <c:dLbls>
          <c:showLegendKey val="0"/>
          <c:showVal val="0"/>
          <c:showCatName val="0"/>
          <c:showSerName val="0"/>
          <c:showPercent val="0"/>
          <c:showBubbleSize val="0"/>
        </c:dLbls>
        <c:gapWidth val="219"/>
        <c:overlap val="-27"/>
        <c:axId val="438822520"/>
        <c:axId val="438823304"/>
      </c:barChart>
      <c:catAx>
        <c:axId val="438822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pt-BR"/>
          </a:p>
        </c:txPr>
        <c:crossAx val="438823304"/>
        <c:crosses val="autoZero"/>
        <c:auto val="1"/>
        <c:lblAlgn val="ctr"/>
        <c:lblOffset val="100"/>
        <c:noMultiLvlLbl val="0"/>
      </c:catAx>
      <c:valAx>
        <c:axId val="438823304"/>
        <c:scaling>
          <c:orientation val="minMax"/>
        </c:scaling>
        <c:delete val="1"/>
        <c:axPos val="l"/>
        <c:numFmt formatCode="_(* #,##0_);_(* \(#,##0\);_(* &quot;-&quot;_);_(@_)" sourceLinked="1"/>
        <c:majorTickMark val="none"/>
        <c:minorTickMark val="none"/>
        <c:tickLblPos val="nextTo"/>
        <c:crossAx val="438822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pt-BR"/>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5487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Liliam Rezende Possa</dc:creator>
  <cp:keywords/>
  <dc:description/>
  <cp:lastModifiedBy>Liliam Rezende Possa</cp:lastModifiedBy>
  <cp:revision>2</cp:revision>
  <dcterms:created xsi:type="dcterms:W3CDTF">2023-05-08T13:39:00Z</dcterms:created>
  <dcterms:modified xsi:type="dcterms:W3CDTF">2023-05-08T13:39:00Z</dcterms:modified>
</cp:coreProperties>
</file>