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B827" w14:textId="4F4E2DD2" w:rsidR="0024709A" w:rsidRPr="00766FF4" w:rsidRDefault="0024709A" w:rsidP="0024709A">
      <w:pPr>
        <w:jc w:val="center"/>
        <w:rPr>
          <w:b/>
          <w:bCs/>
          <w:lang w:val="en-US"/>
        </w:rPr>
      </w:pPr>
      <w:r w:rsidRPr="00766FF4">
        <w:rPr>
          <w:b/>
          <w:bCs/>
          <w:lang w:val="en-US"/>
        </w:rPr>
        <w:t>SAFETY &amp; FLIGHT OPS</w:t>
      </w:r>
    </w:p>
    <w:p w14:paraId="4DC00D0A" w14:textId="3EB91B4C" w:rsidR="00911E78" w:rsidRPr="00462289" w:rsidRDefault="00911E78" w:rsidP="00766FF4">
      <w:pPr>
        <w:spacing w:after="120"/>
        <w:rPr>
          <w:b/>
          <w:bCs/>
          <w:lang w:val="en-US"/>
        </w:rPr>
      </w:pPr>
      <w:r w:rsidRPr="00462289">
        <w:rPr>
          <w:b/>
          <w:bCs/>
          <w:lang w:val="en-US"/>
        </w:rPr>
        <w:t>Region</w:t>
      </w:r>
    </w:p>
    <w:p w14:paraId="10B4BC64" w14:textId="23C7F348" w:rsidR="00766FF4" w:rsidRPr="00766FF4" w:rsidRDefault="00462289" w:rsidP="00766FF4">
      <w:pPr>
        <w:rPr>
          <w:rFonts w:eastAsia="Times New Roman"/>
          <w:lang w:val="en-US"/>
        </w:rPr>
      </w:pPr>
      <w:r>
        <w:rPr>
          <w:lang w:val="en-US"/>
        </w:rPr>
        <w:t>Global Action Plan for the Prevention of Runway Incursions (GAPPRI)</w:t>
      </w:r>
      <w:r>
        <w:rPr>
          <w:lang w:val="en-US"/>
        </w:rPr>
        <w:t xml:space="preserve">: </w:t>
      </w:r>
      <w:r>
        <w:rPr>
          <w:color w:val="000000"/>
          <w:lang w:val="en-US"/>
        </w:rPr>
        <w:t>Unprecedented good practices that can contribute to the prevention of incidents of Runway Incursions.</w:t>
      </w:r>
      <w:r w:rsidR="00766FF4">
        <w:rPr>
          <w:color w:val="000000"/>
          <w:lang w:val="en-US"/>
        </w:rPr>
        <w:t xml:space="preserve"> </w:t>
      </w:r>
      <w:r w:rsidR="00766FF4" w:rsidRPr="00766FF4">
        <w:rPr>
          <w:rFonts w:eastAsia="Times New Roman"/>
          <w:lang w:val="en-US"/>
        </w:rPr>
        <w:t xml:space="preserve">GAPPRI </w:t>
      </w:r>
      <w:r w:rsidR="00766FF4">
        <w:rPr>
          <w:rFonts w:eastAsia="Times New Roman"/>
          <w:lang w:val="en-US"/>
        </w:rPr>
        <w:t>is being</w:t>
      </w:r>
      <w:r w:rsidR="00766FF4" w:rsidRPr="00766FF4">
        <w:rPr>
          <w:rFonts w:eastAsia="Times New Roman"/>
          <w:lang w:val="en-US"/>
        </w:rPr>
        <w:t xml:space="preserve"> developed by an international task force of 200 aviation professionals from 80 organizations around the world</w:t>
      </w:r>
      <w:r w:rsidR="00766FF4">
        <w:rPr>
          <w:rFonts w:eastAsia="Times New Roman"/>
          <w:lang w:val="en-US"/>
        </w:rPr>
        <w:t>,</w:t>
      </w:r>
      <w:r w:rsidR="00766FF4">
        <w:rPr>
          <w:rFonts w:eastAsia="Times New Roman"/>
          <w:lang w:val="en-US"/>
        </w:rPr>
        <w:t xml:space="preserve"> including ALTA</w:t>
      </w:r>
      <w:r w:rsidR="00766FF4" w:rsidRPr="00766FF4">
        <w:rPr>
          <w:rFonts w:eastAsia="Times New Roman"/>
          <w:lang w:val="en-US"/>
        </w:rPr>
        <w:t>.</w:t>
      </w:r>
      <w:r w:rsidR="00766FF4">
        <w:rPr>
          <w:rFonts w:eastAsia="Times New Roman"/>
          <w:lang w:val="en-US"/>
        </w:rPr>
        <w:t xml:space="preserve"> </w:t>
      </w:r>
      <w:r w:rsidR="00766FF4">
        <w:rPr>
          <w:color w:val="000000"/>
          <w:lang w:val="en-US"/>
        </w:rPr>
        <w:t xml:space="preserve">The </w:t>
      </w:r>
      <w:r w:rsidR="00766FF4" w:rsidRPr="00766FF4">
        <w:rPr>
          <w:rFonts w:eastAsia="Times New Roman"/>
          <w:lang w:val="en-US"/>
        </w:rPr>
        <w:t>Volume I</w:t>
      </w:r>
      <w:r w:rsidR="00766FF4">
        <w:rPr>
          <w:rFonts w:eastAsia="Times New Roman"/>
          <w:lang w:val="en-US"/>
        </w:rPr>
        <w:t xml:space="preserve"> was released in Dec 2023 (it </w:t>
      </w:r>
      <w:r w:rsidR="00766FF4">
        <w:rPr>
          <w:rFonts w:eastAsia="Times New Roman"/>
          <w:lang w:val="en-US"/>
        </w:rPr>
        <w:t>contains 127 actionable recommendations addressed to airport operators, air navigation service providers, aircraft operators, manufacturers, countries and regulators, and the research community</w:t>
      </w:r>
      <w:r w:rsidR="00766FF4">
        <w:rPr>
          <w:rFonts w:eastAsia="Times New Roman"/>
          <w:lang w:val="en-US"/>
        </w:rPr>
        <w:t>)</w:t>
      </w:r>
      <w:r w:rsidR="00766FF4" w:rsidRPr="00766FF4">
        <w:rPr>
          <w:rFonts w:eastAsia="Times New Roman"/>
          <w:lang w:val="en-US"/>
        </w:rPr>
        <w:t>. </w:t>
      </w:r>
    </w:p>
    <w:p w14:paraId="48F184FA" w14:textId="77777777" w:rsidR="00766FF4" w:rsidRPr="00766FF4" w:rsidRDefault="00766FF4" w:rsidP="00766FF4">
      <w:pPr>
        <w:spacing w:after="120"/>
        <w:rPr>
          <w:b/>
          <w:bCs/>
          <w:lang w:val="en-US"/>
        </w:rPr>
      </w:pPr>
      <w:r w:rsidRPr="00766FF4">
        <w:rPr>
          <w:b/>
          <w:bCs/>
          <w:lang w:val="en-US"/>
        </w:rPr>
        <w:t>Brazil</w:t>
      </w:r>
    </w:p>
    <w:p w14:paraId="74874089" w14:textId="52B6500D" w:rsidR="00766FF4" w:rsidRPr="00462289" w:rsidRDefault="00766FF4" w:rsidP="00766FF4">
      <w:pPr>
        <w:spacing w:after="120"/>
        <w:jc w:val="both"/>
        <w:rPr>
          <w:shd w:val="clear" w:color="auto" w:fill="FFFFFF"/>
          <w:lang w:val="en-US"/>
        </w:rPr>
      </w:pPr>
      <w:r w:rsidRPr="00462289">
        <w:rPr>
          <w:lang w:val="en-US"/>
        </w:rPr>
        <w:t xml:space="preserve">RNP AR DEP Project: </w:t>
      </w:r>
      <w:r>
        <w:rPr>
          <w:color w:val="000000"/>
          <w:shd w:val="clear" w:color="auto" w:fill="FFFFFF"/>
          <w:lang w:val="en-US"/>
        </w:rPr>
        <w:t>Take-off efficiency gained through operational improvement.</w:t>
      </w:r>
      <w:r>
        <w:rPr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Latam Airlines got the clearance from ANAC to perform takeoffs using the RNP AR DEP procedure</w:t>
      </w:r>
      <w:r>
        <w:rPr>
          <w:color w:val="000000"/>
          <w:shd w:val="clear" w:color="auto" w:fill="FFFFFF"/>
          <w:lang w:val="en-US"/>
        </w:rPr>
        <w:t xml:space="preserve"> a</w:t>
      </w:r>
      <w:r>
        <w:rPr>
          <w:color w:val="000000"/>
          <w:shd w:val="clear" w:color="auto" w:fill="FFFFFF"/>
          <w:lang w:val="en-US"/>
        </w:rPr>
        <w:t>t SDU Airport</w:t>
      </w:r>
      <w:r>
        <w:rPr>
          <w:color w:val="000000"/>
          <w:shd w:val="clear" w:color="auto" w:fill="FFFFFF"/>
          <w:lang w:val="en-US"/>
        </w:rPr>
        <w:t xml:space="preserve">. </w:t>
      </w:r>
      <w:r>
        <w:rPr>
          <w:color w:val="000000"/>
          <w:shd w:val="clear" w:color="auto" w:fill="FFFFFF"/>
          <w:lang w:val="en-US"/>
        </w:rPr>
        <w:t xml:space="preserve"> Azul and Gol </w:t>
      </w:r>
      <w:r>
        <w:rPr>
          <w:color w:val="000000"/>
          <w:shd w:val="clear" w:color="auto" w:fill="FFFFFF"/>
          <w:lang w:val="en-US"/>
        </w:rPr>
        <w:t xml:space="preserve">got the same clearance, however, </w:t>
      </w:r>
      <w:r>
        <w:rPr>
          <w:color w:val="000000"/>
          <w:shd w:val="clear" w:color="auto" w:fill="FFFFFF"/>
          <w:lang w:val="en-US"/>
        </w:rPr>
        <w:t>at this stage, only under visual conditions.</w:t>
      </w:r>
    </w:p>
    <w:p w14:paraId="16EC6439" w14:textId="529A4F81" w:rsidR="00911E78" w:rsidRDefault="00911E78" w:rsidP="00766FF4">
      <w:pPr>
        <w:spacing w:after="120"/>
        <w:rPr>
          <w:b/>
          <w:bCs/>
          <w:lang w:val="en-US"/>
        </w:rPr>
      </w:pPr>
      <w:r w:rsidRPr="00462289">
        <w:rPr>
          <w:b/>
          <w:bCs/>
          <w:lang w:val="en-US"/>
        </w:rPr>
        <w:t>Chile</w:t>
      </w:r>
    </w:p>
    <w:p w14:paraId="0462B88B" w14:textId="08C414BC" w:rsidR="00462289" w:rsidRPr="00462289" w:rsidRDefault="00462289" w:rsidP="00766FF4">
      <w:pPr>
        <w:spacing w:after="120"/>
        <w:rPr>
          <w:lang w:val="en-US"/>
        </w:rPr>
      </w:pPr>
      <w:r w:rsidRPr="00462289">
        <w:rPr>
          <w:lang w:val="en-US"/>
        </w:rPr>
        <w:t>Resolution of the General Directorate of Civil Aeronautics of Chile from Nov 2023 created the Chilean Aviation Safety Cooperation Group (GRUCAV)</w:t>
      </w:r>
      <w:r w:rsidR="00766FF4">
        <w:rPr>
          <w:lang w:val="en-US"/>
        </w:rPr>
        <w:t>, which is the Chilean Collaborative Safety Team (CST)</w:t>
      </w:r>
      <w:r w:rsidRPr="00462289">
        <w:rPr>
          <w:lang w:val="en-US"/>
        </w:rPr>
        <w:t>.</w:t>
      </w:r>
    </w:p>
    <w:p w14:paraId="586FD893" w14:textId="4D17515B" w:rsidR="00911E78" w:rsidRDefault="00911E78" w:rsidP="00766FF4">
      <w:pPr>
        <w:spacing w:after="120"/>
        <w:rPr>
          <w:b/>
          <w:bCs/>
          <w:lang w:val="es-419"/>
        </w:rPr>
      </w:pPr>
      <w:r w:rsidRPr="00911E78">
        <w:rPr>
          <w:b/>
          <w:bCs/>
          <w:lang w:val="es-419"/>
        </w:rPr>
        <w:t>Mexico</w:t>
      </w:r>
    </w:p>
    <w:p w14:paraId="7E217796" w14:textId="401AA86C" w:rsidR="00462289" w:rsidRPr="00462289" w:rsidRDefault="00766FF4" w:rsidP="00766FF4">
      <w:pPr>
        <w:spacing w:after="120"/>
        <w:rPr>
          <w:lang w:val="en-US"/>
        </w:rPr>
      </w:pPr>
      <w:r>
        <w:rPr>
          <w:lang w:val="en-US"/>
        </w:rPr>
        <w:t xml:space="preserve">In Dec, ALTA was invited to participate in the first meeting of the </w:t>
      </w:r>
      <w:r w:rsidR="00462289" w:rsidRPr="00462289">
        <w:rPr>
          <w:lang w:val="en-US"/>
        </w:rPr>
        <w:t>SSP Operational Safety Committee (CSO-SSP) Mexico</w:t>
      </w:r>
      <w:r>
        <w:rPr>
          <w:lang w:val="en-US"/>
        </w:rPr>
        <w:t xml:space="preserve"> in</w:t>
      </w:r>
      <w:r w:rsidR="00462289" w:rsidRPr="00462289">
        <w:rPr>
          <w:lang w:val="en-US"/>
        </w:rPr>
        <w:t xml:space="preserve"> Jan 2024.</w:t>
      </w:r>
      <w:r>
        <w:rPr>
          <w:lang w:val="en-US"/>
        </w:rPr>
        <w:t xml:space="preserve"> The CSO-SSP </w:t>
      </w:r>
      <w:r>
        <w:rPr>
          <w:lang w:val="en-US"/>
        </w:rPr>
        <w:t xml:space="preserve">is the </w:t>
      </w:r>
      <w:r>
        <w:rPr>
          <w:lang w:val="en-US"/>
        </w:rPr>
        <w:t>Mexican</w:t>
      </w:r>
      <w:r>
        <w:rPr>
          <w:lang w:val="en-US"/>
        </w:rPr>
        <w:t xml:space="preserve"> Collaborative Safety Team (CST)</w:t>
      </w:r>
      <w:r w:rsidRPr="00462289">
        <w:rPr>
          <w:lang w:val="en-US"/>
        </w:rPr>
        <w:t>.</w:t>
      </w:r>
    </w:p>
    <w:sectPr w:rsidR="00462289" w:rsidRPr="00462289" w:rsidSect="0071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28D"/>
    <w:multiLevelType w:val="hybridMultilevel"/>
    <w:tmpl w:val="9244BE74"/>
    <w:lvl w:ilvl="0" w:tplc="0E289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09F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84E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4D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6DB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45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73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F0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C9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5613"/>
    <w:multiLevelType w:val="hybridMultilevel"/>
    <w:tmpl w:val="B0BCC028"/>
    <w:lvl w:ilvl="0" w:tplc="478C34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A93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6E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CB6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29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0A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E1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83A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21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A58BD"/>
    <w:multiLevelType w:val="hybridMultilevel"/>
    <w:tmpl w:val="40C63CDC"/>
    <w:lvl w:ilvl="0" w:tplc="26CCD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A9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47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47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20A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2F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20D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040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C8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1949361">
    <w:abstractNumId w:val="2"/>
  </w:num>
  <w:num w:numId="2" w16cid:durableId="81805822">
    <w:abstractNumId w:val="0"/>
  </w:num>
  <w:num w:numId="3" w16cid:durableId="190509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9A"/>
    <w:rsid w:val="0024709A"/>
    <w:rsid w:val="002B6247"/>
    <w:rsid w:val="00462289"/>
    <w:rsid w:val="0047143F"/>
    <w:rsid w:val="0071164E"/>
    <w:rsid w:val="00766FF4"/>
    <w:rsid w:val="009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D5E9"/>
  <w15:chartTrackingRefBased/>
  <w15:docId w15:val="{71C682FE-4E45-48D3-89B2-77AD298E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4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4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47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4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47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4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4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4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4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4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4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47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470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4709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470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470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470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470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4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4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4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4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4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470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70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4709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4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4709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4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Virginio Augusto Corrieri De Castro</dc:creator>
  <cp:keywords/>
  <dc:description/>
  <cp:lastModifiedBy>Virginio Augusto Corrieri De Castro</cp:lastModifiedBy>
  <cp:revision>3</cp:revision>
  <dcterms:created xsi:type="dcterms:W3CDTF">2023-12-29T13:36:00Z</dcterms:created>
  <dcterms:modified xsi:type="dcterms:W3CDTF">2023-12-29T14:23:00Z</dcterms:modified>
</cp:coreProperties>
</file>