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8549" w14:textId="77777777" w:rsidR="00D9526D" w:rsidRDefault="00D9526D" w:rsidP="00D9526D">
      <w:pPr>
        <w:ind w:left="360"/>
        <w:jc w:val="both"/>
        <w:rPr>
          <w:rFonts w:cstheme="minorHAnsi"/>
        </w:rPr>
      </w:pPr>
    </w:p>
    <w:p w14:paraId="3434755D" w14:textId="77777777" w:rsidR="00D9526D" w:rsidRDefault="00D9526D" w:rsidP="00D9526D">
      <w:pPr>
        <w:ind w:left="360"/>
        <w:jc w:val="both"/>
        <w:rPr>
          <w:rFonts w:cstheme="minorHAnsi"/>
        </w:rPr>
      </w:pPr>
    </w:p>
    <w:p w14:paraId="35D77786" w14:textId="5536080D" w:rsidR="00D9526D" w:rsidRPr="00D9526D" w:rsidRDefault="00D9526D" w:rsidP="00D9526D">
      <w:pPr>
        <w:ind w:left="360"/>
        <w:jc w:val="both"/>
        <w:rPr>
          <w:rFonts w:cstheme="minorHAnsi"/>
        </w:rPr>
      </w:pPr>
      <w:r>
        <w:rPr>
          <w:rFonts w:cstheme="minorHAnsi"/>
        </w:rPr>
        <w:t>Q</w:t>
      </w:r>
      <w:r w:rsidRPr="00D9526D">
        <w:rPr>
          <w:rFonts w:cstheme="minorHAnsi"/>
        </w:rPr>
        <w:t>ueridos leitores</w:t>
      </w:r>
      <w:r>
        <w:rPr>
          <w:rFonts w:cstheme="minorHAnsi"/>
        </w:rPr>
        <w:t>,</w:t>
      </w:r>
    </w:p>
    <w:p w14:paraId="26113150" w14:textId="6F03A1FC" w:rsidR="00D9526D" w:rsidRPr="00D9526D" w:rsidRDefault="00D9526D" w:rsidP="00D9526D">
      <w:pPr>
        <w:ind w:left="360"/>
        <w:jc w:val="both"/>
        <w:rPr>
          <w:rFonts w:cstheme="minorHAnsi"/>
        </w:rPr>
      </w:pPr>
      <w:r w:rsidRPr="00D9526D">
        <w:rPr>
          <w:rFonts w:cstheme="minorHAnsi"/>
        </w:rPr>
        <w:t xml:space="preserve">Março foi um mês importante para o transporte aéreo na </w:t>
      </w:r>
      <w:r>
        <w:rPr>
          <w:rFonts w:cstheme="minorHAnsi"/>
        </w:rPr>
        <w:t xml:space="preserve">América Latina e Caribe (LAC) </w:t>
      </w:r>
      <w:r w:rsidRPr="00D9526D">
        <w:rPr>
          <w:rFonts w:cstheme="minorHAnsi"/>
        </w:rPr>
        <w:t xml:space="preserve">pois, pela terceira vez desde o início da pandemia, a região ultrapassou os níveis de passageiros de 2019. </w:t>
      </w:r>
      <w:r>
        <w:rPr>
          <w:rFonts w:cstheme="minorHAnsi"/>
        </w:rPr>
        <w:t>Antes, essa superação</w:t>
      </w:r>
      <w:r w:rsidRPr="00D9526D">
        <w:rPr>
          <w:rFonts w:cstheme="minorHAnsi"/>
        </w:rPr>
        <w:t xml:space="preserve"> aconteceu em setembro e dezembro de 2022.</w:t>
      </w:r>
    </w:p>
    <w:p w14:paraId="44CB5BEE" w14:textId="67740EE0" w:rsidR="00D9526D" w:rsidRPr="00D9526D" w:rsidRDefault="00D9526D" w:rsidP="00E366A6">
      <w:pPr>
        <w:ind w:left="360"/>
        <w:jc w:val="both"/>
        <w:rPr>
          <w:rFonts w:cstheme="minorHAnsi"/>
        </w:rPr>
      </w:pPr>
      <w:r w:rsidRPr="00D9526D">
        <w:rPr>
          <w:rFonts w:cstheme="minorHAnsi"/>
        </w:rPr>
        <w:t xml:space="preserve">Esta é uma boa notícia em meio às previsões que o setor enfrenta, especialmente </w:t>
      </w:r>
      <w:r>
        <w:rPr>
          <w:rFonts w:cstheme="minorHAnsi"/>
        </w:rPr>
        <w:t>sobre</w:t>
      </w:r>
      <w:r w:rsidRPr="00D9526D">
        <w:rPr>
          <w:rFonts w:cstheme="minorHAnsi"/>
        </w:rPr>
        <w:t xml:space="preserve"> questões econômicas.</w:t>
      </w:r>
      <w:r w:rsidR="00E366A6">
        <w:rPr>
          <w:rFonts w:cstheme="minorHAnsi"/>
        </w:rPr>
        <w:t xml:space="preserve"> </w:t>
      </w:r>
      <w:r w:rsidRPr="00D9526D">
        <w:rPr>
          <w:rFonts w:cstheme="minorHAnsi"/>
        </w:rPr>
        <w:t>As estimativas mais recentes do Fundo Monetário Internacional (FMI), publicadas no final de abril de 2023, mostram que a economia da região crescerá 1,6% este ano, valor que representa uma desaceleração de 0,2 ponto em relação às suas projeções para janeiro</w:t>
      </w:r>
      <w:r>
        <w:rPr>
          <w:rFonts w:cstheme="minorHAnsi"/>
        </w:rPr>
        <w:t xml:space="preserve"> de</w:t>
      </w:r>
      <w:r w:rsidRPr="00D9526D">
        <w:rPr>
          <w:rFonts w:cstheme="minorHAnsi"/>
        </w:rPr>
        <w:t xml:space="preserve"> 2023. Essa expectativa de baixo crescimento resultará em menor demanda pelo serviço de transporte aéreo, principalmente em uma região onde 25% da </w:t>
      </w:r>
      <w:r>
        <w:rPr>
          <w:rFonts w:cstheme="minorHAnsi"/>
        </w:rPr>
        <w:t>rende familiar</w:t>
      </w:r>
      <w:r w:rsidRPr="00D9526D">
        <w:rPr>
          <w:rFonts w:cstheme="minorHAnsi"/>
        </w:rPr>
        <w:t xml:space="preserve"> vai para a compra de alimentos.</w:t>
      </w:r>
    </w:p>
    <w:p w14:paraId="4892885C" w14:textId="28CA9617" w:rsidR="00D9526D" w:rsidRPr="00D9526D" w:rsidRDefault="00D9526D" w:rsidP="00D9526D">
      <w:pPr>
        <w:ind w:left="360"/>
        <w:jc w:val="both"/>
        <w:rPr>
          <w:rFonts w:cstheme="minorHAnsi"/>
        </w:rPr>
      </w:pPr>
      <w:r w:rsidRPr="00D9526D">
        <w:rPr>
          <w:rFonts w:cstheme="minorHAnsi"/>
        </w:rPr>
        <w:t xml:space="preserve">O FMI também estima que a inflação será de 13% ao final de 2023. Nesse sentido, não surpreende que a região esteja </w:t>
      </w:r>
      <w:r w:rsidR="00E366A6">
        <w:rPr>
          <w:rFonts w:cstheme="minorHAnsi"/>
        </w:rPr>
        <w:t>sofrendo</w:t>
      </w:r>
      <w:r w:rsidRPr="00D9526D">
        <w:rPr>
          <w:rFonts w:cstheme="minorHAnsi"/>
        </w:rPr>
        <w:t xml:space="preserve"> um aumento nas taxas de juros da política monetária que impacta a economia, variável que também afeta negativamente a demanda por serviços de transporte aéreo.</w:t>
      </w:r>
    </w:p>
    <w:p w14:paraId="35FA66F3" w14:textId="048EC20A" w:rsidR="00D9526D" w:rsidRDefault="00D9526D" w:rsidP="00D9526D">
      <w:pPr>
        <w:ind w:left="360"/>
        <w:jc w:val="both"/>
        <w:rPr>
          <w:rFonts w:cstheme="minorHAnsi"/>
        </w:rPr>
      </w:pPr>
      <w:r w:rsidRPr="00D9526D">
        <w:rPr>
          <w:rFonts w:cstheme="minorHAnsi"/>
        </w:rPr>
        <w:t xml:space="preserve">Em </w:t>
      </w:r>
      <w:r>
        <w:rPr>
          <w:rFonts w:cstheme="minorHAnsi"/>
        </w:rPr>
        <w:t>comparação</w:t>
      </w:r>
      <w:r w:rsidRPr="00D9526D">
        <w:rPr>
          <w:rFonts w:cstheme="minorHAnsi"/>
        </w:rPr>
        <w:t xml:space="preserve">, as moedas da região </w:t>
      </w:r>
      <w:r>
        <w:rPr>
          <w:rFonts w:cstheme="minorHAnsi"/>
        </w:rPr>
        <w:t>tiveram uma tendência de valorização</w:t>
      </w:r>
      <w:r w:rsidRPr="00D9526D">
        <w:rPr>
          <w:rFonts w:cstheme="minorHAnsi"/>
        </w:rPr>
        <w:t xml:space="preserve"> até </w:t>
      </w:r>
      <w:r>
        <w:rPr>
          <w:rFonts w:cstheme="minorHAnsi"/>
        </w:rPr>
        <w:t>2023</w:t>
      </w:r>
      <w:r w:rsidR="00E366A6">
        <w:rPr>
          <w:rFonts w:cstheme="minorHAnsi"/>
        </w:rPr>
        <w:t>,</w:t>
      </w:r>
      <w:r w:rsidRPr="00D9526D">
        <w:rPr>
          <w:rFonts w:cstheme="minorHAnsi"/>
        </w:rPr>
        <w:t xml:space="preserve"> </w:t>
      </w:r>
      <w:r w:rsidR="00E366A6">
        <w:rPr>
          <w:rFonts w:cstheme="minorHAnsi"/>
        </w:rPr>
        <w:t>mas</w:t>
      </w:r>
      <w:r w:rsidRPr="00D9526D">
        <w:rPr>
          <w:rFonts w:cstheme="minorHAnsi"/>
        </w:rPr>
        <w:t xml:space="preserve"> </w:t>
      </w:r>
      <w:r>
        <w:rPr>
          <w:rFonts w:cstheme="minorHAnsi"/>
        </w:rPr>
        <w:t>estão menores</w:t>
      </w:r>
      <w:r w:rsidRPr="00D9526D">
        <w:rPr>
          <w:rFonts w:cstheme="minorHAnsi"/>
        </w:rPr>
        <w:t xml:space="preserve"> </w:t>
      </w:r>
      <w:r>
        <w:rPr>
          <w:rFonts w:cstheme="minorHAnsi"/>
        </w:rPr>
        <w:t>se comparadas</w:t>
      </w:r>
      <w:r w:rsidRPr="00D9526D">
        <w:rPr>
          <w:rFonts w:cstheme="minorHAnsi"/>
        </w:rPr>
        <w:t xml:space="preserve"> a 2019. </w:t>
      </w:r>
      <w:r w:rsidR="00E366A6">
        <w:rPr>
          <w:rFonts w:cstheme="minorHAnsi"/>
        </w:rPr>
        <w:t>Sendo assim,</w:t>
      </w:r>
      <w:r w:rsidRPr="00D9526D">
        <w:rPr>
          <w:rFonts w:cstheme="minorHAnsi"/>
        </w:rPr>
        <w:t xml:space="preserve"> as taxas de câmbio afetam negativamente o setor, já que 75% de sua estrutura de custos é dolarizada.</w:t>
      </w:r>
    </w:p>
    <w:p w14:paraId="013DB995" w14:textId="490F3F61" w:rsidR="00D9526D" w:rsidRDefault="00D9526D" w:rsidP="00D9526D">
      <w:pPr>
        <w:ind w:left="360"/>
        <w:jc w:val="both"/>
      </w:pPr>
      <w:r>
        <w:t xml:space="preserve">O ano de </w:t>
      </w:r>
      <w:r>
        <w:t xml:space="preserve">2023 traça </w:t>
      </w:r>
      <w:r>
        <w:t>um cenário</w:t>
      </w:r>
      <w:r>
        <w:t xml:space="preserve"> muito complexo </w:t>
      </w:r>
      <w:r w:rsidR="00E366A6">
        <w:t>economicamente</w:t>
      </w:r>
      <w:r>
        <w:t>. A maioria dos países e setores produtivos do mundo ainda est</w:t>
      </w:r>
      <w:r>
        <w:t>ão</w:t>
      </w:r>
      <w:r>
        <w:t xml:space="preserve"> se recuperando das </w:t>
      </w:r>
      <w:r>
        <w:t>consequências</w:t>
      </w:r>
      <w:r>
        <w:t xml:space="preserve"> da pandemia e lidando com o contexto inflacionário global.</w:t>
      </w:r>
    </w:p>
    <w:p w14:paraId="38052826" w14:textId="728389DD" w:rsidR="00D9526D" w:rsidRDefault="00D9526D" w:rsidP="00D9526D">
      <w:pPr>
        <w:ind w:left="360"/>
        <w:jc w:val="both"/>
      </w:pPr>
      <w:r>
        <w:t xml:space="preserve">Este complexo panorama nos convida não apenas a manter a resiliência como </w:t>
      </w:r>
      <w:r>
        <w:t>missão</w:t>
      </w:r>
      <w:r>
        <w:t>, mas a trabalhar mais de perto com os governos da região em estratégias fiscais e legislativas que permitam a atração de capitais, a eficiência operacional e a melhoria das condições dos passageiros.</w:t>
      </w:r>
    </w:p>
    <w:p w14:paraId="38E21B4A" w14:textId="77777777" w:rsidR="00D9526D" w:rsidRDefault="00D9526D" w:rsidP="00D9526D">
      <w:pPr>
        <w:ind w:left="360"/>
        <w:jc w:val="both"/>
      </w:pPr>
      <w:r>
        <w:t>A aviação precisa de regulações inteligentes e saudáveis ​​para poder manter o voo e oferecer mais e melhores condições na prestação de um serviço essencial.</w:t>
      </w:r>
    </w:p>
    <w:p w14:paraId="553DB0E3" w14:textId="4F5E1596" w:rsidR="00D9526D" w:rsidRDefault="00D9526D" w:rsidP="00D9526D">
      <w:pPr>
        <w:ind w:left="360"/>
        <w:jc w:val="both"/>
      </w:pPr>
      <w:r>
        <w:t xml:space="preserve">Este não é o momento de permitir que a adversidade nos vença. </w:t>
      </w:r>
      <w:r>
        <w:t>Da parte da</w:t>
      </w:r>
      <w:r>
        <w:t xml:space="preserve"> ALTA </w:t>
      </w:r>
      <w:r>
        <w:t xml:space="preserve">vamos </w:t>
      </w:r>
      <w:r>
        <w:t>continua</w:t>
      </w:r>
      <w:r>
        <w:t>r</w:t>
      </w:r>
      <w:r>
        <w:t xml:space="preserve"> trabalhando, construindo pontes, </w:t>
      </w:r>
      <w:r>
        <w:t xml:space="preserve">além de </w:t>
      </w:r>
      <w:r>
        <w:t>oferece</w:t>
      </w:r>
      <w:r>
        <w:t>r</w:t>
      </w:r>
      <w:r>
        <w:t xml:space="preserve"> informações relevantes que contribu</w:t>
      </w:r>
      <w:r>
        <w:t>a</w:t>
      </w:r>
      <w:r>
        <w:t>m para tomar decisões corretas e impulsionar nossas economias.</w:t>
      </w:r>
    </w:p>
    <w:p w14:paraId="3AB7C77C" w14:textId="3701F254" w:rsidR="00D9526D" w:rsidRDefault="00D9526D" w:rsidP="00D9526D">
      <w:pPr>
        <w:ind w:left="360"/>
        <w:jc w:val="both"/>
      </w:pPr>
      <w:r>
        <w:t>Este relatório é uma amostra d</w:t>
      </w:r>
      <w:r>
        <w:t>e um</w:t>
      </w:r>
      <w:r>
        <w:t xml:space="preserve"> trabalho conjunto, por isso nesta edição comemoramos o fato de poder ampliar o número de países que oferecem seus dados de tráfego de passageiros. </w:t>
      </w:r>
      <w:r>
        <w:t>A ALTA</w:t>
      </w:r>
      <w:r>
        <w:t xml:space="preserve"> agradece especialmente às autoridades da aviação civil e </w:t>
      </w:r>
      <w:r w:rsidR="00E366A6">
        <w:t>da Comissão latino-Americana de Aviação (</w:t>
      </w:r>
      <w:r>
        <w:t>CLAC</w:t>
      </w:r>
      <w:r w:rsidR="00E366A6">
        <w:t>),</w:t>
      </w:r>
      <w:r>
        <w:t xml:space="preserve"> que gentilmente trabalham conosco para gerar estatísticas regionais e estudos relevantes.</w:t>
      </w:r>
    </w:p>
    <w:p w14:paraId="7D4BC76F" w14:textId="77777777" w:rsidR="00E366A6" w:rsidRDefault="00E366A6" w:rsidP="00D9526D">
      <w:pPr>
        <w:ind w:left="360"/>
        <w:jc w:val="both"/>
      </w:pPr>
    </w:p>
    <w:p w14:paraId="265B25CB" w14:textId="77777777" w:rsidR="00E366A6" w:rsidRDefault="00E366A6" w:rsidP="00D9526D">
      <w:pPr>
        <w:ind w:left="360"/>
        <w:jc w:val="both"/>
      </w:pPr>
    </w:p>
    <w:p w14:paraId="376CC3C7" w14:textId="5F2EED86" w:rsidR="00D9526D" w:rsidRDefault="00D9526D" w:rsidP="00D9526D">
      <w:pPr>
        <w:ind w:left="360"/>
        <w:jc w:val="both"/>
      </w:pPr>
      <w:r>
        <w:t>Essa é a tarefa: trabalho conjunto. Vamos continuar!</w:t>
      </w:r>
    </w:p>
    <w:p w14:paraId="629F7A10" w14:textId="77777777" w:rsidR="00D9526D" w:rsidRDefault="00D9526D" w:rsidP="00D9526D">
      <w:pPr>
        <w:ind w:left="360"/>
        <w:jc w:val="both"/>
      </w:pPr>
    </w:p>
    <w:p w14:paraId="70EE295D" w14:textId="77777777" w:rsidR="00E366A6" w:rsidRDefault="00D9526D" w:rsidP="00D9526D">
      <w:pPr>
        <w:ind w:left="360"/>
        <w:jc w:val="both"/>
      </w:pPr>
      <w:r>
        <w:t>Obrigado pela sua leitura,</w:t>
      </w:r>
    </w:p>
    <w:p w14:paraId="0776F9BB" w14:textId="77777777" w:rsidR="00E366A6" w:rsidRDefault="00E366A6" w:rsidP="00D9526D">
      <w:pPr>
        <w:ind w:left="360"/>
        <w:jc w:val="both"/>
      </w:pPr>
    </w:p>
    <w:p w14:paraId="5EA5B10E" w14:textId="7BB5C5EC" w:rsidR="00946C54" w:rsidRDefault="00946C54" w:rsidP="00D9526D">
      <w:pPr>
        <w:ind w:left="360"/>
        <w:jc w:val="both"/>
      </w:pPr>
      <w:r>
        <w:t>José Ricardo Botelho.</w:t>
      </w:r>
    </w:p>
    <w:p w14:paraId="15865E80" w14:textId="77777777" w:rsidR="00946C54" w:rsidRPr="00946C54" w:rsidRDefault="00946C54" w:rsidP="00946C54">
      <w:pPr>
        <w:ind w:left="360"/>
        <w:jc w:val="both"/>
      </w:pPr>
    </w:p>
    <w:p w14:paraId="5EE40401" w14:textId="77777777" w:rsidR="002451AD" w:rsidRDefault="00000000"/>
    <w:sectPr w:rsidR="00245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4CD"/>
    <w:multiLevelType w:val="hybridMultilevel"/>
    <w:tmpl w:val="EB548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61"/>
    <w:rsid w:val="001A7991"/>
    <w:rsid w:val="002F4627"/>
    <w:rsid w:val="00440DA5"/>
    <w:rsid w:val="00534661"/>
    <w:rsid w:val="005C1FE6"/>
    <w:rsid w:val="006C2905"/>
    <w:rsid w:val="00760D2F"/>
    <w:rsid w:val="00946C54"/>
    <w:rsid w:val="00A85F45"/>
    <w:rsid w:val="00BF22C7"/>
    <w:rsid w:val="00C32B52"/>
    <w:rsid w:val="00D9526D"/>
    <w:rsid w:val="00E366A6"/>
    <w:rsid w:val="00E75096"/>
    <w:rsid w:val="00E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75F5"/>
  <w15:chartTrackingRefBased/>
  <w15:docId w15:val="{E8DA3A00-DC2B-4866-9078-98831C77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4661"/>
    <w:pPr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Liliam Rezende Possa</cp:lastModifiedBy>
  <cp:revision>2</cp:revision>
  <dcterms:created xsi:type="dcterms:W3CDTF">2023-05-05T16:25:00Z</dcterms:created>
  <dcterms:modified xsi:type="dcterms:W3CDTF">2023-05-05T16:25:00Z</dcterms:modified>
</cp:coreProperties>
</file>