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23FB" w14:textId="77777777" w:rsidR="00F37D82" w:rsidRDefault="002F22EE" w:rsidP="004B391A">
      <w:pPr>
        <w:spacing w:line="360" w:lineRule="auto"/>
        <w:jc w:val="center"/>
        <w:rPr>
          <w:b/>
          <w:lang w:val="es-ES"/>
        </w:rPr>
      </w:pPr>
      <w:r w:rsidRPr="00224D38">
        <w:rPr>
          <w:b/>
          <w:lang w:val="es-ES"/>
        </w:rPr>
        <w:t>R</w:t>
      </w:r>
      <w:r w:rsidR="00F37D82">
        <w:rPr>
          <w:b/>
          <w:lang w:val="es-ES"/>
        </w:rPr>
        <w:t xml:space="preserve">esolución </w:t>
      </w:r>
    </w:p>
    <w:p w14:paraId="59AB7547" w14:textId="066B4C90" w:rsidR="002F22EE" w:rsidRPr="00224D38" w:rsidRDefault="00F37D82" w:rsidP="004B391A">
      <w:pPr>
        <w:spacing w:line="360" w:lineRule="auto"/>
        <w:jc w:val="center"/>
        <w:rPr>
          <w:b/>
          <w:lang w:val="es-ES"/>
        </w:rPr>
      </w:pPr>
      <w:r>
        <w:rPr>
          <w:b/>
          <w:lang w:val="es-ES"/>
        </w:rPr>
        <w:t>Combustibles sostenibles de aviación</w:t>
      </w:r>
    </w:p>
    <w:p w14:paraId="21BF14F4" w14:textId="2670D2D0" w:rsidR="004B391A" w:rsidRPr="00224D38" w:rsidRDefault="004B391A" w:rsidP="004B391A">
      <w:pPr>
        <w:spacing w:line="360" w:lineRule="auto"/>
        <w:jc w:val="both"/>
        <w:rPr>
          <w:lang w:val="es-ES_tradnl"/>
        </w:rPr>
      </w:pPr>
      <w:r w:rsidRPr="00224D38">
        <w:rPr>
          <w:lang w:val="es-ES_tradnl"/>
        </w:rPr>
        <w:t>C</w:t>
      </w:r>
      <w:r w:rsidR="001C55D1" w:rsidRPr="00224D38">
        <w:rPr>
          <w:lang w:val="es-ES_tradnl"/>
        </w:rPr>
        <w:t>ONSIDERANDO</w:t>
      </w:r>
    </w:p>
    <w:p w14:paraId="44D7849C" w14:textId="1B0725BF" w:rsidR="00922D3D" w:rsidRDefault="00A178B7" w:rsidP="004B391A">
      <w:pPr>
        <w:spacing w:line="360" w:lineRule="auto"/>
        <w:jc w:val="both"/>
        <w:rPr>
          <w:lang w:val="es-ES_tradnl"/>
        </w:rPr>
      </w:pPr>
      <w:r>
        <w:rPr>
          <w:lang w:val="es-ES_tradnl"/>
        </w:rPr>
        <w:t>Que la Industria tiene un rico historial en compromiso con el medio ambiente y la reducción de su huella ambiental, en particular, las emisiones de CO2</w:t>
      </w:r>
      <w:r w:rsidR="00922D3D">
        <w:rPr>
          <w:lang w:val="es-ES_tradnl"/>
        </w:rPr>
        <w:t>;</w:t>
      </w:r>
    </w:p>
    <w:p w14:paraId="1AE5C35E" w14:textId="3BAA294E" w:rsidR="00922D3D" w:rsidRDefault="00922D3D" w:rsidP="004B391A">
      <w:pPr>
        <w:spacing w:line="360" w:lineRule="auto"/>
        <w:jc w:val="both"/>
        <w:rPr>
          <w:lang w:val="es-ES_tradnl"/>
        </w:rPr>
      </w:pPr>
      <w:r>
        <w:rPr>
          <w:lang w:val="es-ES_tradnl"/>
        </w:rPr>
        <w:t>Que la industria ha adoptado compromisos importantes medioambientales, tanto a nivel del sector privado por medio del compromiso surgido de la Resolución de la 66ª Asamblea de IATA, como la asamblea de Estados en la 39ª Asamblea de OACI</w:t>
      </w:r>
      <w:r w:rsidR="004C46D7">
        <w:rPr>
          <w:lang w:val="es-ES_tradnl"/>
        </w:rPr>
        <w:t xml:space="preserve"> que adoptó CORSIA (</w:t>
      </w:r>
      <w:proofErr w:type="spellStart"/>
      <w:r w:rsidR="004C46D7">
        <w:rPr>
          <w:lang w:val="es-ES_tradnl"/>
        </w:rPr>
        <w:t>Carbon</w:t>
      </w:r>
      <w:proofErr w:type="spellEnd"/>
      <w:r w:rsidR="004C46D7">
        <w:rPr>
          <w:lang w:val="es-ES_tradnl"/>
        </w:rPr>
        <w:t xml:space="preserve"> </w:t>
      </w:r>
      <w:proofErr w:type="spellStart"/>
      <w:r w:rsidR="004C46D7">
        <w:rPr>
          <w:lang w:val="es-ES_tradnl"/>
        </w:rPr>
        <w:t>Offsetting</w:t>
      </w:r>
      <w:proofErr w:type="spellEnd"/>
      <w:r w:rsidR="004C46D7">
        <w:rPr>
          <w:lang w:val="es-ES_tradnl"/>
        </w:rPr>
        <w:t xml:space="preserve"> and </w:t>
      </w:r>
      <w:proofErr w:type="spellStart"/>
      <w:r w:rsidR="004C46D7">
        <w:rPr>
          <w:lang w:val="es-ES_tradnl"/>
        </w:rPr>
        <w:t>Reduction</w:t>
      </w:r>
      <w:proofErr w:type="spellEnd"/>
      <w:r w:rsidR="004C46D7">
        <w:rPr>
          <w:lang w:val="es-ES_tradnl"/>
        </w:rPr>
        <w:t xml:space="preserve"> </w:t>
      </w:r>
      <w:proofErr w:type="spellStart"/>
      <w:r w:rsidR="004C46D7">
        <w:rPr>
          <w:lang w:val="es-ES_tradnl"/>
        </w:rPr>
        <w:t>Scheme</w:t>
      </w:r>
      <w:proofErr w:type="spellEnd"/>
      <w:r w:rsidR="004C46D7">
        <w:rPr>
          <w:lang w:val="es-ES_tradnl"/>
        </w:rPr>
        <w:t xml:space="preserve"> </w:t>
      </w:r>
      <w:proofErr w:type="spellStart"/>
      <w:r w:rsidR="004C46D7">
        <w:rPr>
          <w:lang w:val="es-ES_tradnl"/>
        </w:rPr>
        <w:t>for</w:t>
      </w:r>
      <w:proofErr w:type="spellEnd"/>
      <w:r w:rsidR="004C46D7">
        <w:rPr>
          <w:lang w:val="es-ES_tradnl"/>
        </w:rPr>
        <w:t xml:space="preserve"> International Aviation, por su sigla en inglés);</w:t>
      </w:r>
    </w:p>
    <w:p w14:paraId="1FF22988" w14:textId="39A81CB2" w:rsidR="00A178B7" w:rsidRDefault="00A178B7" w:rsidP="004B391A">
      <w:pPr>
        <w:spacing w:line="360" w:lineRule="auto"/>
        <w:jc w:val="both"/>
        <w:rPr>
          <w:lang w:val="es-ES_tradnl"/>
        </w:rPr>
      </w:pPr>
      <w:r>
        <w:rPr>
          <w:lang w:val="es-ES_tradnl"/>
        </w:rPr>
        <w:t>Que</w:t>
      </w:r>
      <w:r w:rsidR="004C46D7">
        <w:rPr>
          <w:lang w:val="es-ES_tradnl"/>
        </w:rPr>
        <w:t>,</w:t>
      </w:r>
      <w:r>
        <w:rPr>
          <w:lang w:val="es-ES_tradnl"/>
        </w:rPr>
        <w:t xml:space="preserve"> </w:t>
      </w:r>
      <w:r w:rsidR="004C46D7">
        <w:rPr>
          <w:lang w:val="es-ES_tradnl"/>
        </w:rPr>
        <w:t xml:space="preserve">en sintonía con estos compromisos, </w:t>
      </w:r>
      <w:r>
        <w:rPr>
          <w:lang w:val="es-ES_tradnl"/>
        </w:rPr>
        <w:t>las líneas aéreas miembro de ALTA han llevado adelante</w:t>
      </w:r>
      <w:r w:rsidR="004C46D7">
        <w:rPr>
          <w:lang w:val="es-ES_tradnl"/>
        </w:rPr>
        <w:t>, durante la pasada década,</w:t>
      </w:r>
      <w:r>
        <w:rPr>
          <w:lang w:val="es-ES_tradnl"/>
        </w:rPr>
        <w:t xml:space="preserve"> </w:t>
      </w:r>
      <w:r w:rsidR="00922D3D">
        <w:rPr>
          <w:lang w:val="es-ES_tradnl"/>
        </w:rPr>
        <w:t>una renovación de más del 60% de su flota</w:t>
      </w:r>
      <w:r w:rsidR="004C46D7">
        <w:rPr>
          <w:lang w:val="es-ES_tradnl"/>
        </w:rPr>
        <w:t>,</w:t>
      </w:r>
      <w:r w:rsidR="00922D3D">
        <w:rPr>
          <w:lang w:val="es-ES_tradnl"/>
        </w:rPr>
        <w:t xml:space="preserve"> contando con una de las flotas más jóvenes a nivel mundial</w:t>
      </w:r>
      <w:r w:rsidR="004C46D7">
        <w:rPr>
          <w:lang w:val="es-ES_tradnl"/>
        </w:rPr>
        <w:t>, proceso que continuará</w:t>
      </w:r>
      <w:r w:rsidR="00922D3D">
        <w:rPr>
          <w:lang w:val="es-ES_tradnl"/>
        </w:rPr>
        <w:t>;</w:t>
      </w:r>
    </w:p>
    <w:p w14:paraId="00EC0445" w14:textId="12589328" w:rsidR="00922D3D" w:rsidRDefault="00922D3D" w:rsidP="004B391A">
      <w:pPr>
        <w:spacing w:line="360" w:lineRule="auto"/>
        <w:jc w:val="both"/>
        <w:rPr>
          <w:lang w:val="es-ES_tradnl"/>
        </w:rPr>
      </w:pPr>
      <w:r>
        <w:rPr>
          <w:lang w:val="es-ES_tradnl"/>
        </w:rPr>
        <w:t>Ello le ha permitido lograr una disminución anual de emisiones de 3,5% anual al 2018, por encima del objetivo de 1,5% de eficiencia planteado por la industria;</w:t>
      </w:r>
    </w:p>
    <w:p w14:paraId="1CCA67DF" w14:textId="6C979B0E" w:rsidR="004C46D7" w:rsidRDefault="004C46D7" w:rsidP="004B391A">
      <w:pPr>
        <w:spacing w:line="360" w:lineRule="auto"/>
        <w:jc w:val="both"/>
        <w:rPr>
          <w:lang w:val="es-ES_tradnl"/>
        </w:rPr>
      </w:pPr>
      <w:r>
        <w:rPr>
          <w:lang w:val="es-ES_tradnl"/>
        </w:rPr>
        <w:t>Que la 77ª Asamblea de IATA adoptó el compromiso colectivo de lograr emisiones netas cero de CO2 para el año 2050</w:t>
      </w:r>
      <w:r w:rsidR="00F802D3">
        <w:rPr>
          <w:lang w:val="es-ES_tradnl"/>
        </w:rPr>
        <w:t>;</w:t>
      </w:r>
    </w:p>
    <w:p w14:paraId="0F244CB8" w14:textId="10B724C7" w:rsidR="00F802D3" w:rsidRDefault="00F802D3" w:rsidP="004B391A">
      <w:pPr>
        <w:spacing w:line="360" w:lineRule="auto"/>
        <w:jc w:val="both"/>
        <w:rPr>
          <w:lang w:val="es-ES_tradnl"/>
        </w:rPr>
      </w:pPr>
      <w:r>
        <w:rPr>
          <w:lang w:val="es-ES_tradnl"/>
        </w:rPr>
        <w:t>Que resulta fundamental para alcanzar tal meta</w:t>
      </w:r>
      <w:r w:rsidR="00381AEB">
        <w:rPr>
          <w:lang w:val="es-ES_tradnl"/>
        </w:rPr>
        <w:t>,</w:t>
      </w:r>
      <w:r>
        <w:rPr>
          <w:lang w:val="es-ES_tradnl"/>
        </w:rPr>
        <w:t xml:space="preserve"> que las compañías productoras de combustible provean al mercado</w:t>
      </w:r>
      <w:r w:rsidR="00381AEB">
        <w:rPr>
          <w:lang w:val="es-ES_tradnl"/>
        </w:rPr>
        <w:t>,</w:t>
      </w:r>
      <w:r>
        <w:rPr>
          <w:lang w:val="es-ES_tradnl"/>
        </w:rPr>
        <w:t xml:space="preserve"> </w:t>
      </w:r>
      <w:r w:rsidRPr="00F802D3">
        <w:rPr>
          <w:lang w:val="es-ES_tradnl"/>
        </w:rPr>
        <w:t>combustibles de aviación sostenibles a gran escala y con cost</w:t>
      </w:r>
      <w:r>
        <w:rPr>
          <w:lang w:val="es-ES_tradnl"/>
        </w:rPr>
        <w:t>o</w:t>
      </w:r>
      <w:r w:rsidRPr="00F802D3">
        <w:rPr>
          <w:lang w:val="es-ES_tradnl"/>
        </w:rPr>
        <w:t>s competitivos</w:t>
      </w:r>
      <w:r>
        <w:rPr>
          <w:lang w:val="es-ES_tradnl"/>
        </w:rPr>
        <w:t>;</w:t>
      </w:r>
    </w:p>
    <w:p w14:paraId="0B28126F" w14:textId="342CB192" w:rsidR="00F802D3" w:rsidRDefault="00F802D3" w:rsidP="004B391A">
      <w:pPr>
        <w:spacing w:line="360" w:lineRule="auto"/>
        <w:jc w:val="both"/>
        <w:rPr>
          <w:lang w:val="es-ES_tradnl"/>
        </w:rPr>
      </w:pPr>
      <w:r>
        <w:rPr>
          <w:lang w:val="es-ES_tradnl"/>
        </w:rPr>
        <w:t>Para que ello sea posible, resulta esencial la acción decidida de los gobiernos de la región.</w:t>
      </w:r>
    </w:p>
    <w:p w14:paraId="35730530" w14:textId="0161B787" w:rsidR="003A3DE2" w:rsidRPr="00224D38" w:rsidRDefault="004B391A" w:rsidP="004B391A">
      <w:pPr>
        <w:spacing w:line="360" w:lineRule="auto"/>
        <w:jc w:val="both"/>
        <w:rPr>
          <w:lang w:val="es-CO"/>
        </w:rPr>
      </w:pPr>
      <w:r w:rsidRPr="00224D38">
        <w:rPr>
          <w:lang w:val="es-CO"/>
        </w:rPr>
        <w:t>La</w:t>
      </w:r>
      <w:r w:rsidR="003A3DE2" w:rsidRPr="00224D38">
        <w:rPr>
          <w:lang w:val="es-CO"/>
        </w:rPr>
        <w:t xml:space="preserve"> </w:t>
      </w:r>
      <w:r w:rsidR="00C85EF4">
        <w:rPr>
          <w:lang w:val="es-CO"/>
        </w:rPr>
        <w:t>41</w:t>
      </w:r>
      <w:r w:rsidR="003A3DE2" w:rsidRPr="00224D38">
        <w:rPr>
          <w:lang w:val="es-CO"/>
        </w:rPr>
        <w:t>ª ASA</w:t>
      </w:r>
      <w:r w:rsidRPr="00224D38">
        <w:rPr>
          <w:lang w:val="es-CO"/>
        </w:rPr>
        <w:t>MBLEA GENERAL ANUAL ORDINARIA de</w:t>
      </w:r>
      <w:r w:rsidR="003A3DE2" w:rsidRPr="00224D38">
        <w:rPr>
          <w:lang w:val="es-CO"/>
        </w:rPr>
        <w:t xml:space="preserve"> ALTA celebrada en </w:t>
      </w:r>
      <w:r w:rsidR="00C85EF4">
        <w:rPr>
          <w:lang w:val="es-CO"/>
        </w:rPr>
        <w:t>Bogotá, Colombia</w:t>
      </w:r>
      <w:r w:rsidR="00EB5ACB" w:rsidRPr="00224D38">
        <w:rPr>
          <w:lang w:val="es-CO"/>
        </w:rPr>
        <w:t xml:space="preserve"> </w:t>
      </w:r>
      <w:r w:rsidR="003A3DE2" w:rsidRPr="00224D38">
        <w:rPr>
          <w:lang w:val="es-CO"/>
        </w:rPr>
        <w:t xml:space="preserve">el </w:t>
      </w:r>
      <w:r w:rsidR="00C85EF4">
        <w:rPr>
          <w:lang w:val="es-CO"/>
        </w:rPr>
        <w:t>24 de octubre</w:t>
      </w:r>
      <w:r w:rsidR="003A3DE2" w:rsidRPr="00224D38">
        <w:rPr>
          <w:lang w:val="es-CO"/>
        </w:rPr>
        <w:t xml:space="preserve"> de 20</w:t>
      </w:r>
      <w:r w:rsidR="00C85EF4">
        <w:rPr>
          <w:lang w:val="es-CO"/>
        </w:rPr>
        <w:t>21</w:t>
      </w:r>
      <w:r w:rsidR="003A3DE2" w:rsidRPr="00224D38">
        <w:rPr>
          <w:lang w:val="es-CO"/>
        </w:rPr>
        <w:t>,</w:t>
      </w:r>
    </w:p>
    <w:p w14:paraId="189AD22A" w14:textId="77777777" w:rsidR="003A3DE2" w:rsidRPr="00224D38" w:rsidRDefault="003A3DE2" w:rsidP="004B391A">
      <w:pPr>
        <w:spacing w:line="360" w:lineRule="auto"/>
        <w:jc w:val="center"/>
        <w:rPr>
          <w:b/>
          <w:lang w:val="es-CO"/>
        </w:rPr>
      </w:pPr>
      <w:r w:rsidRPr="00224D38">
        <w:rPr>
          <w:b/>
          <w:lang w:val="es-CO"/>
        </w:rPr>
        <w:t>RESUELVE</w:t>
      </w:r>
    </w:p>
    <w:p w14:paraId="067D52ED" w14:textId="7B24C93A" w:rsidR="004B391A" w:rsidRPr="00224D38" w:rsidRDefault="004B391A" w:rsidP="004B391A">
      <w:pPr>
        <w:spacing w:line="360" w:lineRule="auto"/>
        <w:jc w:val="both"/>
        <w:rPr>
          <w:lang w:val="es-CO"/>
        </w:rPr>
      </w:pPr>
      <w:r w:rsidRPr="00224D38">
        <w:rPr>
          <w:lang w:val="es-CO"/>
        </w:rPr>
        <w:t>Realizar un llamado a los gobiernos de los países de Latinoamérica y el Caribe para</w:t>
      </w:r>
      <w:r w:rsidR="00C85EF4">
        <w:rPr>
          <w:lang w:val="es-CO"/>
        </w:rPr>
        <w:t xml:space="preserve"> implementar políticas eficaces y eficientes en materia de</w:t>
      </w:r>
      <w:r w:rsidR="00224D38">
        <w:rPr>
          <w:lang w:val="es-CO"/>
        </w:rPr>
        <w:t xml:space="preserve"> desarrollo y producción</w:t>
      </w:r>
      <w:r w:rsidR="00C85EF4">
        <w:rPr>
          <w:lang w:val="es-CO"/>
        </w:rPr>
        <w:t xml:space="preserve"> combustibles sostenibles de aviación</w:t>
      </w:r>
      <w:r w:rsidR="00707DF0">
        <w:rPr>
          <w:lang w:val="es-CO"/>
        </w:rPr>
        <w:t xml:space="preserve"> (en adelante “SAF”), con las siguientes características</w:t>
      </w:r>
      <w:r w:rsidRPr="00224D38">
        <w:rPr>
          <w:lang w:val="es-CO"/>
        </w:rPr>
        <w:t>:</w:t>
      </w:r>
    </w:p>
    <w:p w14:paraId="64F2089C" w14:textId="4A67EB02" w:rsidR="00AC641E" w:rsidRPr="00224D38" w:rsidRDefault="00AC641E" w:rsidP="004B391A">
      <w:pPr>
        <w:numPr>
          <w:ilvl w:val="0"/>
          <w:numId w:val="8"/>
        </w:numPr>
        <w:tabs>
          <w:tab w:val="num" w:pos="0"/>
        </w:tabs>
        <w:spacing w:line="360" w:lineRule="auto"/>
        <w:ind w:left="0"/>
        <w:jc w:val="both"/>
        <w:rPr>
          <w:lang w:val="es-ES_tradnl"/>
        </w:rPr>
      </w:pPr>
      <w:r>
        <w:rPr>
          <w:lang w:val="es-ES_tradnl"/>
        </w:rPr>
        <w:lastRenderedPageBreak/>
        <w:t>Generar seguridad jurídica para atraer las inversiones necesarias para el desarrollo y producción de SAF</w:t>
      </w:r>
      <w:r w:rsidR="00224D38">
        <w:rPr>
          <w:lang w:val="es-ES_tradnl"/>
        </w:rPr>
        <w:t>, con miras en el medio y largo plazo en forma similar al horizonte de tales inversiones</w:t>
      </w:r>
      <w:r>
        <w:rPr>
          <w:lang w:val="es-ES_tradnl"/>
        </w:rPr>
        <w:t>;</w:t>
      </w:r>
    </w:p>
    <w:p w14:paraId="751D597E" w14:textId="77777777" w:rsidR="00224D38" w:rsidRDefault="00224D38" w:rsidP="00224D38">
      <w:pPr>
        <w:numPr>
          <w:ilvl w:val="0"/>
          <w:numId w:val="8"/>
        </w:numPr>
        <w:tabs>
          <w:tab w:val="num" w:pos="0"/>
        </w:tabs>
        <w:spacing w:line="360" w:lineRule="auto"/>
        <w:ind w:left="0"/>
        <w:jc w:val="both"/>
        <w:rPr>
          <w:lang w:val="es-ES_tradnl"/>
        </w:rPr>
      </w:pPr>
      <w:r>
        <w:rPr>
          <w:lang w:val="es-ES"/>
        </w:rPr>
        <w:t xml:space="preserve">Apoyar la financiación de </w:t>
      </w:r>
      <w:r w:rsidRPr="003B207C">
        <w:rPr>
          <w:lang w:val="es-ES"/>
        </w:rPr>
        <w:t>programas</w:t>
      </w:r>
      <w:r>
        <w:rPr>
          <w:lang w:val="es-ES"/>
        </w:rPr>
        <w:t xml:space="preserve"> de</w:t>
      </w:r>
      <w:r w:rsidRPr="003B207C">
        <w:rPr>
          <w:lang w:val="es-ES"/>
        </w:rPr>
        <w:t xml:space="preserve"> producción SAF</w:t>
      </w:r>
      <w:r>
        <w:rPr>
          <w:lang w:val="es-ES"/>
        </w:rPr>
        <w:t xml:space="preserve"> a través de garantías para préstamos y/o subvenciones;</w:t>
      </w:r>
      <w:r w:rsidRPr="00224D38">
        <w:rPr>
          <w:lang w:val="es-ES_tradnl"/>
        </w:rPr>
        <w:t xml:space="preserve"> </w:t>
      </w:r>
    </w:p>
    <w:p w14:paraId="2EC78525" w14:textId="46848513" w:rsidR="00707DF0" w:rsidRPr="00224D38" w:rsidRDefault="00707DF0" w:rsidP="004B391A">
      <w:pPr>
        <w:numPr>
          <w:ilvl w:val="0"/>
          <w:numId w:val="8"/>
        </w:numPr>
        <w:tabs>
          <w:tab w:val="num" w:pos="0"/>
        </w:tabs>
        <w:spacing w:line="360" w:lineRule="auto"/>
        <w:ind w:left="0"/>
        <w:jc w:val="both"/>
        <w:rPr>
          <w:lang w:val="es-ES_tradnl"/>
        </w:rPr>
      </w:pPr>
      <w:r>
        <w:rPr>
          <w:lang w:val="es-CO"/>
        </w:rPr>
        <w:t>Apoyar activamente procesos de investigación y desarrollo de la cadena de suministro de SAF;</w:t>
      </w:r>
    </w:p>
    <w:p w14:paraId="0C1EEB6C" w14:textId="66279E90" w:rsidR="00AC641E" w:rsidRDefault="00AC641E" w:rsidP="004B391A">
      <w:pPr>
        <w:numPr>
          <w:ilvl w:val="0"/>
          <w:numId w:val="8"/>
        </w:numPr>
        <w:tabs>
          <w:tab w:val="num" w:pos="0"/>
        </w:tabs>
        <w:spacing w:line="360" w:lineRule="auto"/>
        <w:ind w:left="0"/>
        <w:jc w:val="both"/>
        <w:rPr>
          <w:lang w:val="es-ES_tradnl"/>
        </w:rPr>
      </w:pPr>
      <w:r>
        <w:rPr>
          <w:lang w:val="es-ES_tradnl"/>
        </w:rPr>
        <w:t>Aplicar al transporte aéreo, incentivos públicos similares a los aplicados al uso de biocombustibles en transporte terrestre;</w:t>
      </w:r>
    </w:p>
    <w:p w14:paraId="18FAE4B7" w14:textId="55BE9D81" w:rsidR="00AC641E" w:rsidRDefault="00AC641E" w:rsidP="004B391A">
      <w:pPr>
        <w:numPr>
          <w:ilvl w:val="0"/>
          <w:numId w:val="8"/>
        </w:numPr>
        <w:tabs>
          <w:tab w:val="num" w:pos="0"/>
        </w:tabs>
        <w:spacing w:line="360" w:lineRule="auto"/>
        <w:ind w:left="0"/>
        <w:jc w:val="both"/>
        <w:rPr>
          <w:lang w:val="es-ES_tradnl"/>
        </w:rPr>
      </w:pPr>
      <w:r>
        <w:rPr>
          <w:lang w:val="es-ES_tradnl"/>
        </w:rPr>
        <w:t>Evitar imponer objetivos en porcentajes de uso de SAF en la medida que no se encuentren en precios razonables de mercado y en cantidad suficiente y</w:t>
      </w:r>
      <w:r w:rsidR="00224D38">
        <w:rPr>
          <w:lang w:val="es-ES_tradnl"/>
        </w:rPr>
        <w:t>,</w:t>
      </w:r>
      <w:r>
        <w:rPr>
          <w:lang w:val="es-ES_tradnl"/>
        </w:rPr>
        <w:t xml:space="preserve"> en caso aplicarlos, que </w:t>
      </w:r>
      <w:r w:rsidR="00224D38">
        <w:rPr>
          <w:lang w:val="es-ES_tradnl"/>
        </w:rPr>
        <w:t xml:space="preserve">dichos objetivos </w:t>
      </w:r>
      <w:r>
        <w:rPr>
          <w:lang w:val="es-ES_tradnl"/>
        </w:rPr>
        <w:t>sea</w:t>
      </w:r>
      <w:r w:rsidR="00224D38">
        <w:rPr>
          <w:lang w:val="es-ES_tradnl"/>
        </w:rPr>
        <w:t>n aplicables</w:t>
      </w:r>
      <w:r>
        <w:rPr>
          <w:lang w:val="es-ES_tradnl"/>
        </w:rPr>
        <w:t xml:space="preserve"> al usuario final y no a los proveedores, para generar transparencia</w:t>
      </w:r>
      <w:r w:rsidR="00224D38">
        <w:rPr>
          <w:lang w:val="es-ES_tradnl"/>
        </w:rPr>
        <w:t xml:space="preserve"> y evitar distorsiones de mercado, llevando a </w:t>
      </w:r>
      <w:r>
        <w:rPr>
          <w:lang w:val="es-ES_tradnl"/>
        </w:rPr>
        <w:t>que la apropiación de los beneficios de uso de SAF recaiga en las líneas aéreas;</w:t>
      </w:r>
    </w:p>
    <w:p w14:paraId="2F62EBB2" w14:textId="58773675" w:rsidR="00AC641E" w:rsidRDefault="00AC641E" w:rsidP="004B391A">
      <w:pPr>
        <w:numPr>
          <w:ilvl w:val="0"/>
          <w:numId w:val="8"/>
        </w:numPr>
        <w:tabs>
          <w:tab w:val="num" w:pos="0"/>
        </w:tabs>
        <w:spacing w:line="360" w:lineRule="auto"/>
        <w:ind w:left="0"/>
        <w:jc w:val="both"/>
        <w:rPr>
          <w:lang w:val="es-ES_tradnl"/>
        </w:rPr>
      </w:pPr>
      <w:r w:rsidRPr="0031175F">
        <w:rPr>
          <w:lang w:val="es-ES"/>
        </w:rPr>
        <w:t>Garantizar</w:t>
      </w:r>
      <w:r w:rsidR="00224D38">
        <w:rPr>
          <w:lang w:val="es-ES"/>
        </w:rPr>
        <w:t xml:space="preserve"> el</w:t>
      </w:r>
      <w:r w:rsidRPr="0031175F">
        <w:rPr>
          <w:lang w:val="es-ES"/>
        </w:rPr>
        <w:t xml:space="preserve"> acceso a infraestructura ne</w:t>
      </w:r>
      <w:r>
        <w:rPr>
          <w:lang w:val="es-ES"/>
        </w:rPr>
        <w:t>cesaria en aeropuerto y fuera, para brindar competitividad y evitar monopolios locales</w:t>
      </w:r>
      <w:r w:rsidR="00224D38">
        <w:rPr>
          <w:lang w:val="es-ES"/>
        </w:rPr>
        <w:t>.</w:t>
      </w:r>
    </w:p>
    <w:p w14:paraId="4B0B75DE" w14:textId="370B04D4" w:rsidR="006A130A" w:rsidRDefault="006A130A">
      <w:pPr>
        <w:rPr>
          <w:lang w:val="es-MX"/>
        </w:rPr>
      </w:pPr>
      <w:r>
        <w:rPr>
          <w:lang w:val="es-MX"/>
        </w:rPr>
        <w:br w:type="page"/>
      </w:r>
    </w:p>
    <w:p w14:paraId="28640B34" w14:textId="3E110E8C" w:rsidR="0071443E" w:rsidRDefault="006B2EC6" w:rsidP="0071443E">
      <w:pPr>
        <w:spacing w:line="360" w:lineRule="auto"/>
        <w:jc w:val="center"/>
        <w:rPr>
          <w:b/>
        </w:rPr>
      </w:pPr>
      <w:r>
        <w:rPr>
          <w:b/>
        </w:rPr>
        <w:lastRenderedPageBreak/>
        <w:t>Resolution</w:t>
      </w:r>
    </w:p>
    <w:p w14:paraId="2F67E262" w14:textId="2134589F" w:rsidR="006B2EC6" w:rsidRPr="00F37D82" w:rsidRDefault="006B2EC6" w:rsidP="0071443E">
      <w:pPr>
        <w:spacing w:line="360" w:lineRule="auto"/>
        <w:jc w:val="center"/>
        <w:rPr>
          <w:b/>
        </w:rPr>
      </w:pPr>
      <w:r>
        <w:rPr>
          <w:b/>
        </w:rPr>
        <w:t>Sustainable aviation fuels</w:t>
      </w:r>
    </w:p>
    <w:p w14:paraId="210E88C2" w14:textId="31C0C625" w:rsidR="0071443E" w:rsidRPr="00F37D82" w:rsidRDefault="0071443E" w:rsidP="0071443E">
      <w:pPr>
        <w:tabs>
          <w:tab w:val="left" w:pos="1848"/>
        </w:tabs>
        <w:spacing w:line="360" w:lineRule="auto"/>
        <w:jc w:val="both"/>
      </w:pPr>
      <w:r w:rsidRPr="00F37D82">
        <w:t>WHEREAS</w:t>
      </w:r>
    </w:p>
    <w:p w14:paraId="6996A8BF" w14:textId="77777777" w:rsidR="006B2EC6" w:rsidRDefault="006B2EC6" w:rsidP="006B2EC6">
      <w:pPr>
        <w:spacing w:line="360" w:lineRule="auto"/>
        <w:jc w:val="both"/>
      </w:pPr>
      <w:r>
        <w:t xml:space="preserve">That the Industry has a rich history of commitment to the environment and reducing its environmental footprint, in particular, CO2 </w:t>
      </w:r>
      <w:proofErr w:type="gramStart"/>
      <w:r>
        <w:t>emissions;</w:t>
      </w:r>
      <w:proofErr w:type="gramEnd"/>
    </w:p>
    <w:p w14:paraId="53D4A0FF" w14:textId="77777777" w:rsidR="006B2EC6" w:rsidRDefault="006B2EC6" w:rsidP="006B2EC6">
      <w:pPr>
        <w:spacing w:line="360" w:lineRule="auto"/>
        <w:jc w:val="both"/>
      </w:pPr>
      <w:r>
        <w:t>That the industry has adopted important environmental commitments, both at the private sector level through the commitment arising from the Resolution of the 66th IATA Assembly, as well as the Assembly of States at the 39th ICAO Assembly that adopted CORSIA (Carbon Offsetting and Reduction Scheme for International Aviation</w:t>
      </w:r>
      <w:proofErr w:type="gramStart"/>
      <w:r>
        <w:t>);</w:t>
      </w:r>
      <w:proofErr w:type="gramEnd"/>
    </w:p>
    <w:p w14:paraId="1F3128E9" w14:textId="77777777" w:rsidR="006B2EC6" w:rsidRDefault="006B2EC6" w:rsidP="006B2EC6">
      <w:pPr>
        <w:spacing w:line="360" w:lineRule="auto"/>
        <w:jc w:val="both"/>
      </w:pPr>
      <w:r>
        <w:t xml:space="preserve">That, in line with these commitments, the ALTA member airlines have carried out, during the past decade, a renewal of more than 60% of their fleet, counting on one of the youngest fleets in the world, a process that will </w:t>
      </w:r>
      <w:proofErr w:type="gramStart"/>
      <w:r>
        <w:t>continue;</w:t>
      </w:r>
      <w:proofErr w:type="gramEnd"/>
    </w:p>
    <w:p w14:paraId="3BFB370E" w14:textId="77777777" w:rsidR="006B2EC6" w:rsidRDefault="006B2EC6" w:rsidP="006B2EC6">
      <w:pPr>
        <w:spacing w:line="360" w:lineRule="auto"/>
        <w:jc w:val="both"/>
      </w:pPr>
      <w:r>
        <w:t xml:space="preserve">This has allowed it to achieve an annual reduction in emissions of 3.5% per year by 2018, above the 1.5% efficiency target set by the </w:t>
      </w:r>
      <w:proofErr w:type="gramStart"/>
      <w:r>
        <w:t>industry;</w:t>
      </w:r>
      <w:proofErr w:type="gramEnd"/>
    </w:p>
    <w:p w14:paraId="2F7BE7B5" w14:textId="77777777" w:rsidR="006B2EC6" w:rsidRDefault="006B2EC6" w:rsidP="006B2EC6">
      <w:pPr>
        <w:spacing w:line="360" w:lineRule="auto"/>
        <w:jc w:val="both"/>
      </w:pPr>
      <w:r>
        <w:t xml:space="preserve">That the 77th IATA Assembly adopted a collective commitment to achieve net zero CO2 emissions by </w:t>
      </w:r>
      <w:proofErr w:type="gramStart"/>
      <w:r>
        <w:t>2050;</w:t>
      </w:r>
      <w:proofErr w:type="gramEnd"/>
    </w:p>
    <w:p w14:paraId="3F74D981" w14:textId="77777777" w:rsidR="006B2EC6" w:rsidRDefault="006B2EC6" w:rsidP="006B2EC6">
      <w:pPr>
        <w:spacing w:line="360" w:lineRule="auto"/>
        <w:jc w:val="both"/>
      </w:pPr>
      <w:r>
        <w:t xml:space="preserve">That it is essential to achieve such a goal that fuel producing companies provide the market with sustainable aviation fuels on a large scale and with competitive </w:t>
      </w:r>
      <w:proofErr w:type="gramStart"/>
      <w:r>
        <w:t>costs;</w:t>
      </w:r>
      <w:proofErr w:type="gramEnd"/>
    </w:p>
    <w:p w14:paraId="431CD155" w14:textId="00C90009" w:rsidR="006B2EC6" w:rsidRDefault="006B2EC6" w:rsidP="006B2EC6">
      <w:pPr>
        <w:spacing w:line="360" w:lineRule="auto"/>
        <w:jc w:val="both"/>
      </w:pPr>
      <w:r>
        <w:t>For this to be possible, decisive action by the governments of the region is essential.</w:t>
      </w:r>
    </w:p>
    <w:p w14:paraId="13F33420" w14:textId="70388395" w:rsidR="0071443E" w:rsidRPr="0071443E" w:rsidRDefault="0071443E" w:rsidP="006A130A">
      <w:pPr>
        <w:spacing w:line="360" w:lineRule="auto"/>
        <w:jc w:val="both"/>
      </w:pPr>
      <w:r w:rsidRPr="0071443E">
        <w:t xml:space="preserve">The 41ª ANNUAL GENERAL ASSEMBLY of ALTA held in Bogota, Colombia </w:t>
      </w:r>
      <w:r>
        <w:t>on October 24</w:t>
      </w:r>
      <w:proofErr w:type="gramStart"/>
      <w:r>
        <w:t xml:space="preserve"> </w:t>
      </w:r>
      <w:r w:rsidRPr="0071443E">
        <w:t>2021</w:t>
      </w:r>
      <w:proofErr w:type="gramEnd"/>
      <w:r w:rsidRPr="0071443E">
        <w:t>,</w:t>
      </w:r>
    </w:p>
    <w:p w14:paraId="7AF539F4" w14:textId="0E98B8B8" w:rsidR="006A130A" w:rsidRPr="00F37D82" w:rsidRDefault="006A130A" w:rsidP="0071443E">
      <w:pPr>
        <w:spacing w:line="360" w:lineRule="auto"/>
        <w:jc w:val="center"/>
      </w:pPr>
      <w:r w:rsidRPr="00F37D82">
        <w:t>RESOLVES</w:t>
      </w:r>
    </w:p>
    <w:p w14:paraId="2CBD4E50" w14:textId="77777777" w:rsidR="006A130A" w:rsidRPr="004E5144" w:rsidRDefault="006A130A" w:rsidP="006A130A">
      <w:pPr>
        <w:spacing w:line="360" w:lineRule="auto"/>
        <w:jc w:val="both"/>
      </w:pPr>
      <w:r w:rsidRPr="004E5144">
        <w:t>Make a call to the governments of the countries of Latin America and the Caribbean to implement effective and efficient policies regarding the development and production of sustainable aviation fuels (hereinafter "SAF"), with the following characteristics:</w:t>
      </w:r>
    </w:p>
    <w:p w14:paraId="4B3F15D5" w14:textId="77777777" w:rsidR="004E5144" w:rsidRDefault="006A130A" w:rsidP="004E5144">
      <w:pPr>
        <w:pStyle w:val="ListParagraph"/>
        <w:numPr>
          <w:ilvl w:val="0"/>
          <w:numId w:val="12"/>
        </w:numPr>
        <w:spacing w:line="360" w:lineRule="auto"/>
        <w:ind w:left="0" w:firstLine="357"/>
        <w:jc w:val="both"/>
      </w:pPr>
      <w:r w:rsidRPr="004E5144">
        <w:t xml:space="preserve">Generate legal certainty to attract the necessary investments for the development and production of SAF, with a </w:t>
      </w:r>
      <w:proofErr w:type="gramStart"/>
      <w:r>
        <w:t>medium and long term</w:t>
      </w:r>
      <w:proofErr w:type="gramEnd"/>
      <w:r>
        <w:t xml:space="preserve"> </w:t>
      </w:r>
      <w:r w:rsidRPr="004E5144">
        <w:t>view similar to the</w:t>
      </w:r>
      <w:r>
        <w:t xml:space="preserve"> timeframe</w:t>
      </w:r>
      <w:r w:rsidRPr="004E5144">
        <w:t xml:space="preserve"> of such investments;</w:t>
      </w:r>
    </w:p>
    <w:p w14:paraId="0DA9C7F7" w14:textId="77777777" w:rsidR="004E5144" w:rsidRDefault="006A130A" w:rsidP="004E5144">
      <w:pPr>
        <w:pStyle w:val="ListParagraph"/>
        <w:numPr>
          <w:ilvl w:val="0"/>
          <w:numId w:val="12"/>
        </w:numPr>
        <w:spacing w:line="360" w:lineRule="auto"/>
        <w:ind w:left="0" w:firstLine="357"/>
        <w:jc w:val="both"/>
      </w:pPr>
      <w:r w:rsidRPr="004E5144">
        <w:lastRenderedPageBreak/>
        <w:t xml:space="preserve">Support the financing of SAF production programs through loan guarantees and / or </w:t>
      </w:r>
      <w:proofErr w:type="gramStart"/>
      <w:r w:rsidRPr="004E5144">
        <w:t>grants;</w:t>
      </w:r>
      <w:proofErr w:type="gramEnd"/>
    </w:p>
    <w:p w14:paraId="7A93188A" w14:textId="77777777" w:rsidR="004E5144" w:rsidRDefault="006A130A" w:rsidP="004E5144">
      <w:pPr>
        <w:pStyle w:val="ListParagraph"/>
        <w:numPr>
          <w:ilvl w:val="0"/>
          <w:numId w:val="12"/>
        </w:numPr>
        <w:spacing w:line="360" w:lineRule="auto"/>
        <w:ind w:left="0" w:firstLine="357"/>
        <w:jc w:val="both"/>
      </w:pPr>
      <w:r w:rsidRPr="004E5144">
        <w:t xml:space="preserve">Actively support research and development processes of SAF's supply </w:t>
      </w:r>
      <w:proofErr w:type="gramStart"/>
      <w:r w:rsidRPr="004E5144">
        <w:t>chain;</w:t>
      </w:r>
      <w:proofErr w:type="gramEnd"/>
    </w:p>
    <w:p w14:paraId="3AF98E5E" w14:textId="77777777" w:rsidR="004E5144" w:rsidRDefault="006A130A" w:rsidP="004E5144">
      <w:pPr>
        <w:pStyle w:val="ListParagraph"/>
        <w:numPr>
          <w:ilvl w:val="0"/>
          <w:numId w:val="12"/>
        </w:numPr>
        <w:spacing w:line="360" w:lineRule="auto"/>
        <w:ind w:left="0" w:firstLine="357"/>
        <w:jc w:val="both"/>
      </w:pPr>
      <w:r w:rsidRPr="004E5144">
        <w:t xml:space="preserve">Apply public incentives to air transport similar to those applied to the use of biofuels in land </w:t>
      </w:r>
      <w:proofErr w:type="gramStart"/>
      <w:r w:rsidRPr="004E5144">
        <w:t>transport;</w:t>
      </w:r>
      <w:proofErr w:type="gramEnd"/>
    </w:p>
    <w:p w14:paraId="6A609A2E" w14:textId="31F5BA51" w:rsidR="006A130A" w:rsidRPr="004E5144" w:rsidRDefault="006A130A" w:rsidP="004E5144">
      <w:pPr>
        <w:pStyle w:val="ListParagraph"/>
        <w:numPr>
          <w:ilvl w:val="0"/>
          <w:numId w:val="12"/>
        </w:numPr>
        <w:spacing w:line="360" w:lineRule="auto"/>
        <w:ind w:left="0" w:firstLine="357"/>
        <w:jc w:val="both"/>
      </w:pPr>
      <w:r w:rsidRPr="004E5144">
        <w:t xml:space="preserve">Avoid imposing objectives in percentages of use of SAF to the extent that they are not at reasonable market prices and in sufficient quantity and, if applied, that these objectives are applicable to the end user and not to suppliers, to generate transparency and avoid market distortions, leading to the appropriation of the benefits of using SAF to the </w:t>
      </w:r>
      <w:proofErr w:type="gramStart"/>
      <w:r w:rsidRPr="004E5144">
        <w:t>airlines;</w:t>
      </w:r>
      <w:proofErr w:type="gramEnd"/>
    </w:p>
    <w:p w14:paraId="3CC50598" w14:textId="5C4743BD" w:rsidR="00F749BE" w:rsidRDefault="006A130A" w:rsidP="00806DF0">
      <w:pPr>
        <w:pStyle w:val="ListParagraph"/>
        <w:numPr>
          <w:ilvl w:val="0"/>
          <w:numId w:val="12"/>
        </w:numPr>
        <w:spacing w:line="360" w:lineRule="auto"/>
        <w:ind w:left="0" w:firstLine="357"/>
        <w:jc w:val="both"/>
      </w:pPr>
      <w:r w:rsidRPr="004E5144">
        <w:t>Guarantee access to the necessary infrastructure at the airport and abroad, to provide competitiveness and avoid local monopolies.</w:t>
      </w:r>
    </w:p>
    <w:p w14:paraId="34FE93C2" w14:textId="77777777" w:rsidR="00806DF0" w:rsidRDefault="00806DF0" w:rsidP="00806DF0">
      <w:pPr>
        <w:pStyle w:val="ListParagraph"/>
        <w:spacing w:line="360" w:lineRule="auto"/>
        <w:ind w:left="0"/>
        <w:jc w:val="both"/>
      </w:pPr>
    </w:p>
    <w:p w14:paraId="229C56F1" w14:textId="3F888B01" w:rsidR="00A178B7" w:rsidRPr="004E5144" w:rsidRDefault="00A178B7" w:rsidP="00364139"/>
    <w:sectPr w:rsidR="00A178B7" w:rsidRPr="004E5144" w:rsidSect="0049289F">
      <w:headerReference w:type="even" r:id="rId8"/>
      <w:headerReference w:type="default" r:id="rId9"/>
      <w:footerReference w:type="even" r:id="rId10"/>
      <w:footerReference w:type="default" r:id="rId11"/>
      <w:headerReference w:type="first" r:id="rId12"/>
      <w:footerReference w:type="first" r:id="rId13"/>
      <w:pgSz w:w="11906" w:h="16838" w:code="9"/>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7DEF" w14:textId="77777777" w:rsidR="00FF574A" w:rsidRDefault="00FF574A">
      <w:r>
        <w:separator/>
      </w:r>
    </w:p>
  </w:endnote>
  <w:endnote w:type="continuationSeparator" w:id="0">
    <w:p w14:paraId="5FEF450D" w14:textId="77777777" w:rsidR="00FF574A" w:rsidRDefault="00F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1BB7" w14:textId="77777777" w:rsidR="00F37D82" w:rsidRDefault="00F37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306"/>
    </w:tblGrid>
    <w:tr w:rsidR="009667AB" w:rsidRPr="00224D38" w14:paraId="4B772AF1" w14:textId="77777777" w:rsidTr="009667AB">
      <w:trPr>
        <w:trHeight w:val="900"/>
      </w:trPr>
      <w:tc>
        <w:tcPr>
          <w:tcW w:w="8505" w:type="dxa"/>
          <w:vAlign w:val="center"/>
        </w:tcPr>
        <w:tbl>
          <w:tblPr>
            <w:tblW w:w="0" w:type="auto"/>
            <w:tblLook w:val="01E0" w:firstRow="1" w:lastRow="1" w:firstColumn="1" w:lastColumn="1" w:noHBand="0" w:noVBand="0"/>
          </w:tblPr>
          <w:tblGrid>
            <w:gridCol w:w="8090"/>
          </w:tblGrid>
          <w:tr w:rsidR="000B696F" w:rsidRPr="00224D38" w14:paraId="3CDC5373" w14:textId="77777777" w:rsidTr="00C177BF">
            <w:trPr>
              <w:trHeight w:val="900"/>
            </w:trPr>
            <w:tc>
              <w:tcPr>
                <w:tcW w:w="8505" w:type="dxa"/>
                <w:vAlign w:val="center"/>
              </w:tcPr>
              <w:p w14:paraId="2A549388" w14:textId="0CC3F4DF" w:rsidR="000B696F" w:rsidRPr="009667AB" w:rsidRDefault="000B696F" w:rsidP="000B696F">
                <w:pPr>
                  <w:pStyle w:val="Footer"/>
                  <w:jc w:val="center"/>
                  <w:rPr>
                    <w:sz w:val="16"/>
                    <w:szCs w:val="16"/>
                    <w:lang w:val="es-ES"/>
                  </w:rPr>
                </w:pPr>
                <w:r w:rsidRPr="009667AB">
                  <w:rPr>
                    <w:sz w:val="16"/>
                    <w:szCs w:val="16"/>
                    <w:lang w:val="es-ES"/>
                  </w:rPr>
                  <w:t xml:space="preserve">Asociación Latinoamericana de Transporte Aéreo – </w:t>
                </w:r>
                <w:r w:rsidR="00436E63">
                  <w:rPr>
                    <w:sz w:val="16"/>
                    <w:szCs w:val="16"/>
                    <w:lang w:val="es-ES"/>
                  </w:rPr>
                  <w:t>41</w:t>
                </w:r>
                <w:r w:rsidRPr="009667AB">
                  <w:rPr>
                    <w:sz w:val="16"/>
                    <w:szCs w:val="16"/>
                    <w:lang w:val="es-ES"/>
                  </w:rPr>
                  <w:t>ª Asamblea General Ordinaria</w:t>
                </w:r>
              </w:p>
              <w:p w14:paraId="09AC94FD" w14:textId="61ECEDE4" w:rsidR="000B696F" w:rsidRPr="009667AB" w:rsidRDefault="00436E63" w:rsidP="00751DAA">
                <w:pPr>
                  <w:pStyle w:val="Footer"/>
                  <w:jc w:val="center"/>
                  <w:rPr>
                    <w:sz w:val="16"/>
                    <w:szCs w:val="16"/>
                    <w:lang w:val="es-ES"/>
                  </w:rPr>
                </w:pPr>
                <w:r>
                  <w:rPr>
                    <w:sz w:val="16"/>
                    <w:szCs w:val="16"/>
                    <w:lang w:val="es-ES"/>
                  </w:rPr>
                  <w:t>Octubre</w:t>
                </w:r>
                <w:r w:rsidR="000B696F">
                  <w:rPr>
                    <w:sz w:val="16"/>
                    <w:szCs w:val="16"/>
                    <w:lang w:val="es-ES"/>
                  </w:rPr>
                  <w:t xml:space="preserve"> </w:t>
                </w:r>
                <w:r>
                  <w:rPr>
                    <w:sz w:val="16"/>
                    <w:szCs w:val="16"/>
                    <w:lang w:val="es-ES"/>
                  </w:rPr>
                  <w:t>24</w:t>
                </w:r>
                <w:r w:rsidR="000B696F" w:rsidRPr="009667AB">
                  <w:rPr>
                    <w:sz w:val="16"/>
                    <w:szCs w:val="16"/>
                    <w:lang w:val="es-ES"/>
                  </w:rPr>
                  <w:t>, 20</w:t>
                </w:r>
                <w:r>
                  <w:rPr>
                    <w:sz w:val="16"/>
                    <w:szCs w:val="16"/>
                    <w:lang w:val="es-ES"/>
                  </w:rPr>
                  <w:t>21</w:t>
                </w:r>
                <w:r w:rsidR="000B696F">
                  <w:rPr>
                    <w:sz w:val="16"/>
                    <w:szCs w:val="16"/>
                    <w:lang w:val="es-ES"/>
                  </w:rPr>
                  <w:t xml:space="preserve"> – </w:t>
                </w:r>
                <w:r>
                  <w:rPr>
                    <w:sz w:val="16"/>
                    <w:szCs w:val="16"/>
                    <w:lang w:val="es-ES"/>
                  </w:rPr>
                  <w:t>Bogotá</w:t>
                </w:r>
                <w:r w:rsidR="00EB5ACB">
                  <w:rPr>
                    <w:sz w:val="16"/>
                    <w:szCs w:val="16"/>
                    <w:lang w:val="es-ES"/>
                  </w:rPr>
                  <w:t xml:space="preserve">, </w:t>
                </w:r>
                <w:r>
                  <w:rPr>
                    <w:sz w:val="16"/>
                    <w:szCs w:val="16"/>
                    <w:lang w:val="es-ES"/>
                  </w:rPr>
                  <w:t>Colombia</w:t>
                </w:r>
              </w:p>
            </w:tc>
          </w:tr>
        </w:tbl>
        <w:p w14:paraId="6B7A3CB0" w14:textId="77777777" w:rsidR="009667AB" w:rsidRPr="009667AB" w:rsidRDefault="009667AB" w:rsidP="000B696F">
          <w:pPr>
            <w:pStyle w:val="Footer"/>
            <w:rPr>
              <w:sz w:val="16"/>
              <w:szCs w:val="16"/>
              <w:lang w:val="es-ES"/>
            </w:rPr>
          </w:pPr>
        </w:p>
      </w:tc>
    </w:tr>
  </w:tbl>
  <w:p w14:paraId="35B734E5" w14:textId="77777777" w:rsidR="009667AB" w:rsidRDefault="009667AB" w:rsidP="009667AB">
    <w:pPr>
      <w:pStyle w:val="Footer"/>
      <w:rPr>
        <w:lang w:val="es-ES_tradnl"/>
      </w:rPr>
    </w:pPr>
  </w:p>
  <w:p w14:paraId="50750AC2" w14:textId="77777777" w:rsidR="009667AB" w:rsidRPr="00924C5E" w:rsidRDefault="009667AB">
    <w:pPr>
      <w:pStyle w:val="Foote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4973" w14:textId="77777777" w:rsidR="00F37D82" w:rsidRDefault="00F3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983C" w14:textId="77777777" w:rsidR="00FF574A" w:rsidRDefault="00FF574A">
      <w:r>
        <w:separator/>
      </w:r>
    </w:p>
  </w:footnote>
  <w:footnote w:type="continuationSeparator" w:id="0">
    <w:p w14:paraId="07FDD82C" w14:textId="77777777" w:rsidR="00FF574A" w:rsidRDefault="00FF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6A28" w14:textId="53ED75C6" w:rsidR="003D532B" w:rsidRDefault="003D532B" w:rsidP="003D53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53F2D" w14:textId="77777777" w:rsidR="003D532B" w:rsidRDefault="003D532B" w:rsidP="003D53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7E28" w14:textId="57CC1634" w:rsidR="009667AB" w:rsidRPr="009667AB" w:rsidRDefault="009667AB" w:rsidP="009667AB">
    <w:pPr>
      <w:pStyle w:val="Header"/>
    </w:pPr>
  </w:p>
  <w:p w14:paraId="2F197DDA" w14:textId="77777777" w:rsidR="009667AB" w:rsidRDefault="009667AB">
    <w:pPr>
      <w:pStyle w:val="Header"/>
    </w:pPr>
  </w:p>
  <w:p w14:paraId="7FFDEC4F" w14:textId="77777777" w:rsidR="003D532B" w:rsidRDefault="003D532B" w:rsidP="003D532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AE63" w14:textId="243D04CA" w:rsidR="00A070BC" w:rsidRDefault="00A07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76"/>
        </w:tabs>
        <w:ind w:left="-76" w:firstLine="360"/>
      </w:pPr>
      <w:rPr>
        <w:rFonts w:hint="default"/>
        <w:color w:val="000000"/>
        <w:position w:val="0"/>
        <w:sz w:val="22"/>
      </w:rPr>
    </w:lvl>
    <w:lvl w:ilvl="1">
      <w:start w:val="1"/>
      <w:numFmt w:val="lowerLetter"/>
      <w:suff w:val="nothing"/>
      <w:lvlText w:val="%2."/>
      <w:lvlJc w:val="left"/>
      <w:pPr>
        <w:ind w:left="-436" w:firstLine="1440"/>
      </w:pPr>
      <w:rPr>
        <w:rFonts w:hint="default"/>
        <w:color w:val="000000"/>
        <w:position w:val="0"/>
        <w:sz w:val="22"/>
      </w:rPr>
    </w:lvl>
    <w:lvl w:ilvl="2">
      <w:start w:val="1"/>
      <w:numFmt w:val="lowerRoman"/>
      <w:suff w:val="nothing"/>
      <w:lvlText w:val="%3."/>
      <w:lvlJc w:val="left"/>
      <w:pPr>
        <w:ind w:left="-436" w:firstLine="2160"/>
      </w:pPr>
      <w:rPr>
        <w:rFonts w:hint="default"/>
        <w:color w:val="000000"/>
        <w:position w:val="0"/>
        <w:sz w:val="22"/>
      </w:rPr>
    </w:lvl>
    <w:lvl w:ilvl="3">
      <w:start w:val="1"/>
      <w:numFmt w:val="decimal"/>
      <w:isLgl/>
      <w:suff w:val="nothing"/>
      <w:lvlText w:val="%4."/>
      <w:lvlJc w:val="left"/>
      <w:pPr>
        <w:ind w:left="-436" w:firstLine="2880"/>
      </w:pPr>
      <w:rPr>
        <w:rFonts w:hint="default"/>
        <w:color w:val="000000"/>
        <w:position w:val="0"/>
        <w:sz w:val="22"/>
      </w:rPr>
    </w:lvl>
    <w:lvl w:ilvl="4">
      <w:start w:val="1"/>
      <w:numFmt w:val="lowerLetter"/>
      <w:suff w:val="nothing"/>
      <w:lvlText w:val="%5."/>
      <w:lvlJc w:val="left"/>
      <w:pPr>
        <w:ind w:left="-436" w:firstLine="3600"/>
      </w:pPr>
      <w:rPr>
        <w:rFonts w:hint="default"/>
        <w:color w:val="000000"/>
        <w:position w:val="0"/>
        <w:sz w:val="22"/>
      </w:rPr>
    </w:lvl>
    <w:lvl w:ilvl="5">
      <w:start w:val="1"/>
      <w:numFmt w:val="lowerRoman"/>
      <w:suff w:val="nothing"/>
      <w:lvlText w:val="%6."/>
      <w:lvlJc w:val="left"/>
      <w:pPr>
        <w:ind w:left="-436" w:firstLine="4320"/>
      </w:pPr>
      <w:rPr>
        <w:rFonts w:hint="default"/>
        <w:color w:val="000000"/>
        <w:position w:val="0"/>
        <w:sz w:val="22"/>
      </w:rPr>
    </w:lvl>
    <w:lvl w:ilvl="6">
      <w:start w:val="1"/>
      <w:numFmt w:val="decimal"/>
      <w:isLgl/>
      <w:suff w:val="nothing"/>
      <w:lvlText w:val="%7."/>
      <w:lvlJc w:val="left"/>
      <w:pPr>
        <w:ind w:left="-436" w:firstLine="5040"/>
      </w:pPr>
      <w:rPr>
        <w:rFonts w:hint="default"/>
        <w:color w:val="000000"/>
        <w:position w:val="0"/>
        <w:sz w:val="22"/>
      </w:rPr>
    </w:lvl>
    <w:lvl w:ilvl="7">
      <w:start w:val="1"/>
      <w:numFmt w:val="lowerLetter"/>
      <w:suff w:val="nothing"/>
      <w:lvlText w:val="%8."/>
      <w:lvlJc w:val="left"/>
      <w:pPr>
        <w:ind w:left="-436" w:firstLine="5760"/>
      </w:pPr>
      <w:rPr>
        <w:rFonts w:hint="default"/>
        <w:color w:val="000000"/>
        <w:position w:val="0"/>
        <w:sz w:val="22"/>
      </w:rPr>
    </w:lvl>
    <w:lvl w:ilvl="8">
      <w:start w:val="1"/>
      <w:numFmt w:val="lowerRoman"/>
      <w:suff w:val="nothing"/>
      <w:lvlText w:val="%9."/>
      <w:lvlJc w:val="left"/>
      <w:pPr>
        <w:ind w:left="-436" w:firstLine="6480"/>
      </w:pPr>
      <w:rPr>
        <w:rFonts w:hint="default"/>
        <w:color w:val="000000"/>
        <w:position w:val="0"/>
        <w:sz w:val="22"/>
      </w:rPr>
    </w:lvl>
  </w:abstractNum>
  <w:abstractNum w:abstractNumId="1" w15:restartNumberingAfterBreak="0">
    <w:nsid w:val="00000002"/>
    <w:multiLevelType w:val="multilevel"/>
    <w:tmpl w:val="894EE874"/>
    <w:lvl w:ilvl="0">
      <w:start w:val="19"/>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 w15:restartNumberingAfterBreak="0">
    <w:nsid w:val="08A975E1"/>
    <w:multiLevelType w:val="hybridMultilevel"/>
    <w:tmpl w:val="E60ABEAC"/>
    <w:lvl w:ilvl="0" w:tplc="070A8926">
      <w:start w:val="1"/>
      <w:numFmt w:val="decimal"/>
      <w:lvlText w:val="%1."/>
      <w:lvlJc w:val="left"/>
      <w:pPr>
        <w:ind w:left="1335" w:hanging="615"/>
      </w:pPr>
      <w:rPr>
        <w:rFonts w:hint="default"/>
      </w:rPr>
    </w:lvl>
    <w:lvl w:ilvl="1" w:tplc="18B66FCA">
      <w:start w:val="1"/>
      <w:numFmt w:val="lowerLetter"/>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2E20E4D"/>
    <w:multiLevelType w:val="hybridMultilevel"/>
    <w:tmpl w:val="9E9A034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BD6148"/>
    <w:multiLevelType w:val="hybridMultilevel"/>
    <w:tmpl w:val="C488489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D1E08F6"/>
    <w:multiLevelType w:val="hybridMultilevel"/>
    <w:tmpl w:val="CB9E29A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53BD3577"/>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720" w:firstLine="1440"/>
      </w:pPr>
      <w:rPr>
        <w:rFonts w:hint="default"/>
        <w:color w:val="000000"/>
        <w:position w:val="0"/>
        <w:sz w:val="22"/>
      </w:rPr>
    </w:lvl>
    <w:lvl w:ilvl="2">
      <w:start w:val="1"/>
      <w:numFmt w:val="lowerRoman"/>
      <w:suff w:val="nothing"/>
      <w:lvlText w:val="%3."/>
      <w:lvlJc w:val="left"/>
      <w:pPr>
        <w:ind w:left="-720" w:firstLine="2160"/>
      </w:pPr>
      <w:rPr>
        <w:rFonts w:hint="default"/>
        <w:color w:val="000000"/>
        <w:position w:val="0"/>
        <w:sz w:val="22"/>
      </w:rPr>
    </w:lvl>
    <w:lvl w:ilvl="3">
      <w:start w:val="1"/>
      <w:numFmt w:val="decimal"/>
      <w:isLgl/>
      <w:suff w:val="nothing"/>
      <w:lvlText w:val="%4."/>
      <w:lvlJc w:val="left"/>
      <w:pPr>
        <w:ind w:left="-720" w:firstLine="2880"/>
      </w:pPr>
      <w:rPr>
        <w:rFonts w:hint="default"/>
        <w:color w:val="000000"/>
        <w:position w:val="0"/>
        <w:sz w:val="22"/>
      </w:rPr>
    </w:lvl>
    <w:lvl w:ilvl="4">
      <w:start w:val="1"/>
      <w:numFmt w:val="lowerLetter"/>
      <w:suff w:val="nothing"/>
      <w:lvlText w:val="%5."/>
      <w:lvlJc w:val="left"/>
      <w:pPr>
        <w:ind w:left="-720" w:firstLine="3600"/>
      </w:pPr>
      <w:rPr>
        <w:rFonts w:hint="default"/>
        <w:color w:val="000000"/>
        <w:position w:val="0"/>
        <w:sz w:val="22"/>
      </w:rPr>
    </w:lvl>
    <w:lvl w:ilvl="5">
      <w:start w:val="1"/>
      <w:numFmt w:val="lowerRoman"/>
      <w:suff w:val="nothing"/>
      <w:lvlText w:val="%6."/>
      <w:lvlJc w:val="left"/>
      <w:pPr>
        <w:ind w:left="-720" w:firstLine="4320"/>
      </w:pPr>
      <w:rPr>
        <w:rFonts w:hint="default"/>
        <w:color w:val="000000"/>
        <w:position w:val="0"/>
        <w:sz w:val="22"/>
      </w:rPr>
    </w:lvl>
    <w:lvl w:ilvl="6">
      <w:start w:val="1"/>
      <w:numFmt w:val="decimal"/>
      <w:isLgl/>
      <w:suff w:val="nothing"/>
      <w:lvlText w:val="%7."/>
      <w:lvlJc w:val="left"/>
      <w:pPr>
        <w:ind w:left="-720" w:firstLine="5040"/>
      </w:pPr>
      <w:rPr>
        <w:rFonts w:hint="default"/>
        <w:color w:val="000000"/>
        <w:position w:val="0"/>
        <w:sz w:val="22"/>
      </w:rPr>
    </w:lvl>
    <w:lvl w:ilvl="7">
      <w:start w:val="1"/>
      <w:numFmt w:val="lowerLetter"/>
      <w:suff w:val="nothing"/>
      <w:lvlText w:val="%8."/>
      <w:lvlJc w:val="left"/>
      <w:pPr>
        <w:ind w:left="-720" w:firstLine="5760"/>
      </w:pPr>
      <w:rPr>
        <w:rFonts w:hint="default"/>
        <w:color w:val="000000"/>
        <w:position w:val="0"/>
        <w:sz w:val="22"/>
      </w:rPr>
    </w:lvl>
    <w:lvl w:ilvl="8">
      <w:start w:val="1"/>
      <w:numFmt w:val="lowerRoman"/>
      <w:suff w:val="nothing"/>
      <w:lvlText w:val="%9."/>
      <w:lvlJc w:val="left"/>
      <w:pPr>
        <w:ind w:left="-720" w:firstLine="6480"/>
      </w:pPr>
      <w:rPr>
        <w:rFonts w:hint="default"/>
        <w:color w:val="000000"/>
        <w:position w:val="0"/>
        <w:sz w:val="22"/>
      </w:rPr>
    </w:lvl>
  </w:abstractNum>
  <w:abstractNum w:abstractNumId="7" w15:restartNumberingAfterBreak="0">
    <w:nsid w:val="591E1D78"/>
    <w:multiLevelType w:val="hybridMultilevel"/>
    <w:tmpl w:val="3F96EE1C"/>
    <w:lvl w:ilvl="0" w:tplc="61F69630">
      <w:start w:val="1"/>
      <w:numFmt w:val="decimal"/>
      <w:lvlText w:val="%1."/>
      <w:lvlJc w:val="left"/>
      <w:pPr>
        <w:tabs>
          <w:tab w:val="num" w:pos="900"/>
        </w:tabs>
        <w:ind w:left="900" w:hanging="54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11D4E63"/>
    <w:multiLevelType w:val="hybridMultilevel"/>
    <w:tmpl w:val="A134F618"/>
    <w:lvl w:ilvl="0" w:tplc="FFFFFFFF">
      <w:start w:val="1"/>
      <w:numFmt w:val="bullet"/>
      <w:lvlText w:val="–"/>
      <w:lvlJc w:val="left"/>
      <w:pPr>
        <w:tabs>
          <w:tab w:val="num" w:pos="567"/>
        </w:tabs>
        <w:ind w:left="567" w:hanging="56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6038CD"/>
    <w:multiLevelType w:val="hybridMultilevel"/>
    <w:tmpl w:val="B54EE6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79B7D92"/>
    <w:multiLevelType w:val="hybridMultilevel"/>
    <w:tmpl w:val="3BA8F5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4A65390"/>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720" w:firstLine="1440"/>
      </w:pPr>
      <w:rPr>
        <w:rFonts w:hint="default"/>
        <w:color w:val="000000"/>
        <w:position w:val="0"/>
        <w:sz w:val="22"/>
      </w:rPr>
    </w:lvl>
    <w:lvl w:ilvl="2">
      <w:start w:val="1"/>
      <w:numFmt w:val="lowerRoman"/>
      <w:suff w:val="nothing"/>
      <w:lvlText w:val="%3."/>
      <w:lvlJc w:val="left"/>
      <w:pPr>
        <w:ind w:left="-720" w:firstLine="2160"/>
      </w:pPr>
      <w:rPr>
        <w:rFonts w:hint="default"/>
        <w:color w:val="000000"/>
        <w:position w:val="0"/>
        <w:sz w:val="22"/>
      </w:rPr>
    </w:lvl>
    <w:lvl w:ilvl="3">
      <w:start w:val="1"/>
      <w:numFmt w:val="decimal"/>
      <w:isLgl/>
      <w:suff w:val="nothing"/>
      <w:lvlText w:val="%4."/>
      <w:lvlJc w:val="left"/>
      <w:pPr>
        <w:ind w:left="-720" w:firstLine="2880"/>
      </w:pPr>
      <w:rPr>
        <w:rFonts w:hint="default"/>
        <w:color w:val="000000"/>
        <w:position w:val="0"/>
        <w:sz w:val="22"/>
      </w:rPr>
    </w:lvl>
    <w:lvl w:ilvl="4">
      <w:start w:val="1"/>
      <w:numFmt w:val="lowerLetter"/>
      <w:suff w:val="nothing"/>
      <w:lvlText w:val="%5."/>
      <w:lvlJc w:val="left"/>
      <w:pPr>
        <w:ind w:left="-720" w:firstLine="3600"/>
      </w:pPr>
      <w:rPr>
        <w:rFonts w:hint="default"/>
        <w:color w:val="000000"/>
        <w:position w:val="0"/>
        <w:sz w:val="22"/>
      </w:rPr>
    </w:lvl>
    <w:lvl w:ilvl="5">
      <w:start w:val="1"/>
      <w:numFmt w:val="lowerRoman"/>
      <w:suff w:val="nothing"/>
      <w:lvlText w:val="%6."/>
      <w:lvlJc w:val="left"/>
      <w:pPr>
        <w:ind w:left="-720" w:firstLine="4320"/>
      </w:pPr>
      <w:rPr>
        <w:rFonts w:hint="default"/>
        <w:color w:val="000000"/>
        <w:position w:val="0"/>
        <w:sz w:val="22"/>
      </w:rPr>
    </w:lvl>
    <w:lvl w:ilvl="6">
      <w:start w:val="1"/>
      <w:numFmt w:val="decimal"/>
      <w:isLgl/>
      <w:suff w:val="nothing"/>
      <w:lvlText w:val="%7."/>
      <w:lvlJc w:val="left"/>
      <w:pPr>
        <w:ind w:left="-720" w:firstLine="5040"/>
      </w:pPr>
      <w:rPr>
        <w:rFonts w:hint="default"/>
        <w:color w:val="000000"/>
        <w:position w:val="0"/>
        <w:sz w:val="22"/>
      </w:rPr>
    </w:lvl>
    <w:lvl w:ilvl="7">
      <w:start w:val="1"/>
      <w:numFmt w:val="lowerLetter"/>
      <w:suff w:val="nothing"/>
      <w:lvlText w:val="%8."/>
      <w:lvlJc w:val="left"/>
      <w:pPr>
        <w:ind w:left="-720" w:firstLine="5760"/>
      </w:pPr>
      <w:rPr>
        <w:rFonts w:hint="default"/>
        <w:color w:val="000000"/>
        <w:position w:val="0"/>
        <w:sz w:val="22"/>
      </w:rPr>
    </w:lvl>
    <w:lvl w:ilvl="8">
      <w:start w:val="1"/>
      <w:numFmt w:val="lowerRoman"/>
      <w:suff w:val="nothing"/>
      <w:lvlText w:val="%9."/>
      <w:lvlJc w:val="left"/>
      <w:pPr>
        <w:ind w:left="-720" w:firstLine="6480"/>
      </w:pPr>
      <w:rPr>
        <w:rFonts w:hint="default"/>
        <w:color w:val="000000"/>
        <w:position w:val="0"/>
        <w:sz w:val="22"/>
      </w:rPr>
    </w:lvl>
  </w:abstractNum>
  <w:num w:numId="1">
    <w:abstractNumId w:val="9"/>
  </w:num>
  <w:num w:numId="2">
    <w:abstractNumId w:val="10"/>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
  </w:num>
  <w:num w:numId="8">
    <w:abstractNumId w:val="6"/>
  </w:num>
  <w:num w:numId="9">
    <w:abstractNumId w:val="4"/>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EE"/>
    <w:rsid w:val="0001794A"/>
    <w:rsid w:val="000514AD"/>
    <w:rsid w:val="00060D26"/>
    <w:rsid w:val="000653F1"/>
    <w:rsid w:val="0006589D"/>
    <w:rsid w:val="000863F3"/>
    <w:rsid w:val="00094A48"/>
    <w:rsid w:val="000B696F"/>
    <w:rsid w:val="000D5F9A"/>
    <w:rsid w:val="001020CF"/>
    <w:rsid w:val="0010654C"/>
    <w:rsid w:val="0014499D"/>
    <w:rsid w:val="001C3287"/>
    <w:rsid w:val="001C55D1"/>
    <w:rsid w:val="001F52E1"/>
    <w:rsid w:val="00201FC1"/>
    <w:rsid w:val="00211277"/>
    <w:rsid w:val="00224D38"/>
    <w:rsid w:val="00250B9F"/>
    <w:rsid w:val="002532E4"/>
    <w:rsid w:val="00267EE5"/>
    <w:rsid w:val="00274042"/>
    <w:rsid w:val="002773E9"/>
    <w:rsid w:val="00292351"/>
    <w:rsid w:val="002963C5"/>
    <w:rsid w:val="002A4A7A"/>
    <w:rsid w:val="002A6E74"/>
    <w:rsid w:val="002C5704"/>
    <w:rsid w:val="002D2988"/>
    <w:rsid w:val="002F22EE"/>
    <w:rsid w:val="003007E9"/>
    <w:rsid w:val="00340C10"/>
    <w:rsid w:val="00343E4B"/>
    <w:rsid w:val="00363039"/>
    <w:rsid w:val="00364139"/>
    <w:rsid w:val="00371CBA"/>
    <w:rsid w:val="003777EE"/>
    <w:rsid w:val="00381AEB"/>
    <w:rsid w:val="003A3DE2"/>
    <w:rsid w:val="003D532B"/>
    <w:rsid w:val="004257E9"/>
    <w:rsid w:val="00436E63"/>
    <w:rsid w:val="004507CB"/>
    <w:rsid w:val="004907E6"/>
    <w:rsid w:val="0049289F"/>
    <w:rsid w:val="004B391A"/>
    <w:rsid w:val="004C46D7"/>
    <w:rsid w:val="004E5144"/>
    <w:rsid w:val="00532128"/>
    <w:rsid w:val="005354DE"/>
    <w:rsid w:val="0054034E"/>
    <w:rsid w:val="005669A1"/>
    <w:rsid w:val="00567093"/>
    <w:rsid w:val="00576391"/>
    <w:rsid w:val="00584E06"/>
    <w:rsid w:val="005A784F"/>
    <w:rsid w:val="005C2829"/>
    <w:rsid w:val="006006C8"/>
    <w:rsid w:val="006152E9"/>
    <w:rsid w:val="00616FC0"/>
    <w:rsid w:val="00660F4B"/>
    <w:rsid w:val="00682133"/>
    <w:rsid w:val="006A130A"/>
    <w:rsid w:val="006B2EC6"/>
    <w:rsid w:val="006C0E76"/>
    <w:rsid w:val="006C1BA8"/>
    <w:rsid w:val="006F4C38"/>
    <w:rsid w:val="00707DF0"/>
    <w:rsid w:val="0071443E"/>
    <w:rsid w:val="00750B63"/>
    <w:rsid w:val="00751DAA"/>
    <w:rsid w:val="0076340F"/>
    <w:rsid w:val="007D07C2"/>
    <w:rsid w:val="007D2A55"/>
    <w:rsid w:val="007D4D11"/>
    <w:rsid w:val="007E7DFC"/>
    <w:rsid w:val="0080645C"/>
    <w:rsid w:val="00806DF0"/>
    <w:rsid w:val="00844E37"/>
    <w:rsid w:val="008D50F2"/>
    <w:rsid w:val="0090793C"/>
    <w:rsid w:val="00915063"/>
    <w:rsid w:val="00922D3D"/>
    <w:rsid w:val="00924C5E"/>
    <w:rsid w:val="009318FF"/>
    <w:rsid w:val="00933520"/>
    <w:rsid w:val="00941EE2"/>
    <w:rsid w:val="00953ADA"/>
    <w:rsid w:val="009667AB"/>
    <w:rsid w:val="009739A5"/>
    <w:rsid w:val="0098228A"/>
    <w:rsid w:val="009B786A"/>
    <w:rsid w:val="009E5827"/>
    <w:rsid w:val="00A070BC"/>
    <w:rsid w:val="00A13A1C"/>
    <w:rsid w:val="00A178B7"/>
    <w:rsid w:val="00A5259F"/>
    <w:rsid w:val="00AC641E"/>
    <w:rsid w:val="00AC724D"/>
    <w:rsid w:val="00AF26D3"/>
    <w:rsid w:val="00B34B6F"/>
    <w:rsid w:val="00B85D01"/>
    <w:rsid w:val="00BB72CC"/>
    <w:rsid w:val="00BE2F9F"/>
    <w:rsid w:val="00C177BF"/>
    <w:rsid w:val="00C232D4"/>
    <w:rsid w:val="00C46275"/>
    <w:rsid w:val="00C543C1"/>
    <w:rsid w:val="00C56943"/>
    <w:rsid w:val="00C85EF4"/>
    <w:rsid w:val="00CB0529"/>
    <w:rsid w:val="00CB463B"/>
    <w:rsid w:val="00CE40AB"/>
    <w:rsid w:val="00D5173F"/>
    <w:rsid w:val="00D6776B"/>
    <w:rsid w:val="00DA1A11"/>
    <w:rsid w:val="00DA38C3"/>
    <w:rsid w:val="00DC1D9F"/>
    <w:rsid w:val="00DC6998"/>
    <w:rsid w:val="00DD3E4D"/>
    <w:rsid w:val="00DE0317"/>
    <w:rsid w:val="00DE09FF"/>
    <w:rsid w:val="00E0030F"/>
    <w:rsid w:val="00E1280E"/>
    <w:rsid w:val="00E16D0D"/>
    <w:rsid w:val="00E40F35"/>
    <w:rsid w:val="00E506E6"/>
    <w:rsid w:val="00E6621E"/>
    <w:rsid w:val="00E66EDD"/>
    <w:rsid w:val="00E97982"/>
    <w:rsid w:val="00EA1424"/>
    <w:rsid w:val="00EB0FE6"/>
    <w:rsid w:val="00EB4814"/>
    <w:rsid w:val="00EB5ACB"/>
    <w:rsid w:val="00EF0602"/>
    <w:rsid w:val="00F04DAA"/>
    <w:rsid w:val="00F1679C"/>
    <w:rsid w:val="00F2405F"/>
    <w:rsid w:val="00F26E32"/>
    <w:rsid w:val="00F36DD9"/>
    <w:rsid w:val="00F37D82"/>
    <w:rsid w:val="00F45FB2"/>
    <w:rsid w:val="00F56B57"/>
    <w:rsid w:val="00F6048D"/>
    <w:rsid w:val="00F60A57"/>
    <w:rsid w:val="00F62E1E"/>
    <w:rsid w:val="00F749BE"/>
    <w:rsid w:val="00F802D3"/>
    <w:rsid w:val="00FA329B"/>
    <w:rsid w:val="00FC6F57"/>
    <w:rsid w:val="00FD1471"/>
    <w:rsid w:val="00FF57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4B7BA"/>
  <w15:docId w15:val="{41BF2AB9-12B3-464D-B756-0B98FBE7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532B"/>
    <w:pPr>
      <w:tabs>
        <w:tab w:val="center" w:pos="4320"/>
        <w:tab w:val="right" w:pos="8640"/>
      </w:tabs>
    </w:pPr>
  </w:style>
  <w:style w:type="character" w:styleId="PageNumber">
    <w:name w:val="page number"/>
    <w:basedOn w:val="DefaultParagraphFont"/>
    <w:rsid w:val="003D532B"/>
  </w:style>
  <w:style w:type="paragraph" w:styleId="BodyText">
    <w:name w:val="Body Text"/>
    <w:basedOn w:val="Normal"/>
    <w:link w:val="BodyTextChar"/>
    <w:rsid w:val="002A6E74"/>
    <w:pPr>
      <w:keepLines/>
      <w:spacing w:after="120"/>
    </w:pPr>
    <w:rPr>
      <w:rFonts w:eastAsia="Batang"/>
      <w:snapToGrid w:val="0"/>
      <w:szCs w:val="20"/>
      <w:lang w:val="en-GB"/>
    </w:rPr>
  </w:style>
  <w:style w:type="character" w:customStyle="1" w:styleId="BodyTextChar">
    <w:name w:val="Body Text Char"/>
    <w:link w:val="BodyText"/>
    <w:rsid w:val="002A6E74"/>
    <w:rPr>
      <w:rFonts w:eastAsia="Batang"/>
      <w:snapToGrid w:val="0"/>
      <w:sz w:val="24"/>
      <w:lang w:val="en-GB"/>
    </w:rPr>
  </w:style>
  <w:style w:type="paragraph" w:styleId="BalloonText">
    <w:name w:val="Balloon Text"/>
    <w:basedOn w:val="Normal"/>
    <w:link w:val="BalloonTextChar"/>
    <w:uiPriority w:val="99"/>
    <w:semiHidden/>
    <w:unhideWhenUsed/>
    <w:rsid w:val="00EA1424"/>
    <w:rPr>
      <w:rFonts w:ascii="Tahoma" w:hAnsi="Tahoma" w:cs="Tahoma"/>
      <w:sz w:val="16"/>
      <w:szCs w:val="16"/>
    </w:rPr>
  </w:style>
  <w:style w:type="character" w:customStyle="1" w:styleId="BalloonTextChar">
    <w:name w:val="Balloon Text Char"/>
    <w:link w:val="BalloonText"/>
    <w:uiPriority w:val="99"/>
    <w:semiHidden/>
    <w:rsid w:val="00EA1424"/>
    <w:rPr>
      <w:rFonts w:ascii="Tahoma" w:hAnsi="Tahoma" w:cs="Tahoma"/>
      <w:sz w:val="16"/>
      <w:szCs w:val="16"/>
    </w:rPr>
  </w:style>
  <w:style w:type="paragraph" w:styleId="ListParagraph">
    <w:name w:val="List Paragraph"/>
    <w:basedOn w:val="Normal"/>
    <w:uiPriority w:val="34"/>
    <w:qFormat/>
    <w:rsid w:val="009667AB"/>
    <w:pPr>
      <w:ind w:left="720"/>
    </w:pPr>
  </w:style>
  <w:style w:type="paragraph" w:styleId="Footer">
    <w:name w:val="footer"/>
    <w:basedOn w:val="Normal"/>
    <w:link w:val="FooterChar"/>
    <w:unhideWhenUsed/>
    <w:rsid w:val="009667AB"/>
    <w:pPr>
      <w:tabs>
        <w:tab w:val="center" w:pos="4680"/>
        <w:tab w:val="right" w:pos="9360"/>
      </w:tabs>
    </w:pPr>
  </w:style>
  <w:style w:type="character" w:customStyle="1" w:styleId="FooterChar">
    <w:name w:val="Footer Char"/>
    <w:link w:val="Footer"/>
    <w:rsid w:val="009667AB"/>
    <w:rPr>
      <w:sz w:val="24"/>
      <w:szCs w:val="24"/>
    </w:rPr>
  </w:style>
  <w:style w:type="character" w:customStyle="1" w:styleId="HeaderChar">
    <w:name w:val="Header Char"/>
    <w:link w:val="Header"/>
    <w:uiPriority w:val="99"/>
    <w:rsid w:val="009667AB"/>
    <w:rPr>
      <w:sz w:val="24"/>
      <w:szCs w:val="24"/>
    </w:rPr>
  </w:style>
  <w:style w:type="table" w:styleId="TableGrid">
    <w:name w:val="Table Grid"/>
    <w:basedOn w:val="TableNormal"/>
    <w:rsid w:val="0096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5704"/>
    <w:rPr>
      <w:sz w:val="16"/>
      <w:szCs w:val="16"/>
    </w:rPr>
  </w:style>
  <w:style w:type="paragraph" w:styleId="CommentText">
    <w:name w:val="annotation text"/>
    <w:basedOn w:val="Normal"/>
    <w:link w:val="CommentTextChar"/>
    <w:uiPriority w:val="99"/>
    <w:semiHidden/>
    <w:unhideWhenUsed/>
    <w:rsid w:val="002C5704"/>
    <w:rPr>
      <w:sz w:val="20"/>
      <w:szCs w:val="20"/>
    </w:rPr>
  </w:style>
  <w:style w:type="character" w:customStyle="1" w:styleId="CommentTextChar">
    <w:name w:val="Comment Text Char"/>
    <w:basedOn w:val="DefaultParagraphFont"/>
    <w:link w:val="CommentText"/>
    <w:uiPriority w:val="99"/>
    <w:semiHidden/>
    <w:rsid w:val="002C5704"/>
    <w:rPr>
      <w:lang w:val="en-US" w:eastAsia="en-US"/>
    </w:rPr>
  </w:style>
  <w:style w:type="paragraph" w:styleId="CommentSubject">
    <w:name w:val="annotation subject"/>
    <w:basedOn w:val="CommentText"/>
    <w:next w:val="CommentText"/>
    <w:link w:val="CommentSubjectChar"/>
    <w:uiPriority w:val="99"/>
    <w:semiHidden/>
    <w:unhideWhenUsed/>
    <w:rsid w:val="002C5704"/>
    <w:rPr>
      <w:b/>
      <w:bCs/>
    </w:rPr>
  </w:style>
  <w:style w:type="character" w:customStyle="1" w:styleId="CommentSubjectChar">
    <w:name w:val="Comment Subject Char"/>
    <w:basedOn w:val="CommentTextChar"/>
    <w:link w:val="CommentSubject"/>
    <w:uiPriority w:val="99"/>
    <w:semiHidden/>
    <w:rsid w:val="002C570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6DF9B-3537-4DEB-8CB6-2AE8C52E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823</Words>
  <Characters>4532</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RESOLUCION</vt:lpstr>
      <vt:lpstr>RESOLUCION</vt:lpstr>
    </vt:vector>
  </TitlesOfParts>
  <Company>Aital</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dc:title>
  <dc:creator>Aital</dc:creator>
  <cp:lastModifiedBy>Gonzalo Yelpo</cp:lastModifiedBy>
  <cp:revision>6</cp:revision>
  <cp:lastPrinted>2021-10-19T22:14:00Z</cp:lastPrinted>
  <dcterms:created xsi:type="dcterms:W3CDTF">2021-10-13T02:48:00Z</dcterms:created>
  <dcterms:modified xsi:type="dcterms:W3CDTF">2021-10-19T22:14:00Z</dcterms:modified>
</cp:coreProperties>
</file>